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4A74" w:rsidRPr="00F258B7" w:rsidRDefault="00214A74" w:rsidP="00214A74">
      <w:pPr>
        <w:pStyle w:val="Sinespaciado"/>
        <w:jc w:val="center"/>
        <w:rPr>
          <w:rFonts w:ascii="Times New Roman" w:hAnsi="Times New Roman"/>
          <w:b/>
          <w:sz w:val="24"/>
          <w:szCs w:val="24"/>
        </w:rPr>
      </w:pPr>
      <w:r w:rsidRPr="00F258B7">
        <w:rPr>
          <w:rFonts w:ascii="Times New Roman" w:hAnsi="Times New Roman"/>
          <w:b/>
          <w:sz w:val="24"/>
          <w:szCs w:val="24"/>
        </w:rPr>
        <w:t>Resolución N. TAT-</w:t>
      </w:r>
      <w:r>
        <w:rPr>
          <w:rFonts w:ascii="Times New Roman" w:hAnsi="Times New Roman"/>
          <w:b/>
          <w:sz w:val="24"/>
          <w:szCs w:val="24"/>
        </w:rPr>
        <w:t>3018</w:t>
      </w:r>
      <w:r w:rsidRPr="00F258B7">
        <w:rPr>
          <w:rFonts w:ascii="Times New Roman" w:hAnsi="Times New Roman"/>
          <w:b/>
          <w:sz w:val="24"/>
          <w:szCs w:val="24"/>
        </w:rPr>
        <w:t>-2016</w:t>
      </w:r>
    </w:p>
    <w:p w:rsidR="00214A74" w:rsidRPr="00F258B7" w:rsidRDefault="00214A74" w:rsidP="00214A74">
      <w:pPr>
        <w:pStyle w:val="Sinespaciado"/>
        <w:jc w:val="both"/>
        <w:rPr>
          <w:rFonts w:ascii="Times New Roman" w:hAnsi="Times New Roman"/>
          <w:sz w:val="24"/>
          <w:szCs w:val="24"/>
        </w:rPr>
      </w:pPr>
    </w:p>
    <w:p w:rsidR="00214A74" w:rsidRPr="00F258B7" w:rsidRDefault="00214A74" w:rsidP="00214A74">
      <w:pPr>
        <w:pStyle w:val="Sinespaciado"/>
        <w:jc w:val="both"/>
        <w:rPr>
          <w:rFonts w:ascii="Times New Roman" w:hAnsi="Times New Roman"/>
          <w:sz w:val="24"/>
          <w:szCs w:val="24"/>
        </w:rPr>
      </w:pPr>
    </w:p>
    <w:p w:rsidR="00214A74" w:rsidRPr="00F258B7" w:rsidRDefault="00214A74" w:rsidP="00214A74">
      <w:pPr>
        <w:pStyle w:val="Sinespaciado"/>
        <w:jc w:val="both"/>
        <w:rPr>
          <w:rFonts w:ascii="Times New Roman" w:hAnsi="Times New Roman"/>
          <w:sz w:val="24"/>
          <w:szCs w:val="24"/>
        </w:rPr>
      </w:pPr>
      <w:r w:rsidRPr="00F258B7">
        <w:rPr>
          <w:rFonts w:ascii="Times New Roman" w:hAnsi="Times New Roman"/>
          <w:b/>
          <w:sz w:val="24"/>
          <w:szCs w:val="24"/>
        </w:rPr>
        <w:t xml:space="preserve">TRIBUNAL ADMINISTRATIVO DE TRANSPORTE.  </w:t>
      </w:r>
      <w:r w:rsidRPr="00F258B7">
        <w:rPr>
          <w:rFonts w:ascii="Times New Roman" w:hAnsi="Times New Roman"/>
          <w:sz w:val="24"/>
          <w:szCs w:val="24"/>
        </w:rPr>
        <w:t xml:space="preserve">Curridabat, a las </w:t>
      </w:r>
      <w:r>
        <w:rPr>
          <w:rFonts w:ascii="Times New Roman" w:hAnsi="Times New Roman"/>
          <w:sz w:val="24"/>
          <w:szCs w:val="24"/>
        </w:rPr>
        <w:t>catorce</w:t>
      </w:r>
      <w:r w:rsidRPr="00F258B7">
        <w:rPr>
          <w:rFonts w:ascii="Times New Roman" w:hAnsi="Times New Roman"/>
          <w:sz w:val="24"/>
          <w:szCs w:val="24"/>
        </w:rPr>
        <w:t xml:space="preserve"> horas con </w:t>
      </w:r>
      <w:r>
        <w:rPr>
          <w:rFonts w:ascii="Times New Roman" w:hAnsi="Times New Roman"/>
          <w:sz w:val="24"/>
          <w:szCs w:val="24"/>
        </w:rPr>
        <w:t xml:space="preserve">veintiún </w:t>
      </w:r>
      <w:r w:rsidRPr="00F258B7">
        <w:rPr>
          <w:rFonts w:ascii="Times New Roman" w:hAnsi="Times New Roman"/>
          <w:sz w:val="24"/>
          <w:szCs w:val="24"/>
        </w:rPr>
        <w:t>minutos del treinta y uno de mayo del dos mil dieciséis.</w:t>
      </w:r>
    </w:p>
    <w:p w:rsidR="00214A74" w:rsidRPr="00F258B7" w:rsidRDefault="00214A74" w:rsidP="00214A74">
      <w:pPr>
        <w:pStyle w:val="Sinespaciado"/>
        <w:rPr>
          <w:rFonts w:ascii="Times New Roman" w:hAnsi="Times New Roman"/>
          <w:sz w:val="24"/>
          <w:szCs w:val="24"/>
        </w:rPr>
      </w:pPr>
    </w:p>
    <w:p w:rsidR="00214A74" w:rsidRPr="00F258B7" w:rsidRDefault="00214A74" w:rsidP="00214A74">
      <w:pPr>
        <w:pStyle w:val="Sinespaciado"/>
        <w:rPr>
          <w:rFonts w:ascii="Times New Roman" w:hAnsi="Times New Roman"/>
          <w:sz w:val="24"/>
          <w:szCs w:val="24"/>
        </w:rPr>
      </w:pPr>
    </w:p>
    <w:p w:rsidR="00214A74" w:rsidRPr="00081876" w:rsidRDefault="00214A74" w:rsidP="00214A74">
      <w:pPr>
        <w:kinsoku w:val="0"/>
        <w:overflowPunct w:val="0"/>
        <w:spacing w:line="276" w:lineRule="auto"/>
        <w:jc w:val="both"/>
        <w:textAlignment w:val="baseline"/>
        <w:rPr>
          <w:b/>
          <w:bCs/>
        </w:rPr>
      </w:pPr>
      <w:r w:rsidRPr="00F258B7">
        <w:t xml:space="preserve">Se conoce </w:t>
      </w:r>
      <w:r w:rsidRPr="00AF4B68">
        <w:rPr>
          <w:b/>
          <w:bCs/>
          <w:smallCaps/>
        </w:rPr>
        <w:t>Recursos Revocatoria con apelación en subsidio e incidente de nulidad absoluta</w:t>
      </w:r>
      <w:r w:rsidRPr="00081876">
        <w:rPr>
          <w:bCs/>
        </w:rPr>
        <w:t>,</w:t>
      </w:r>
      <w:r w:rsidRPr="00081876">
        <w:rPr>
          <w:b/>
          <w:bCs/>
        </w:rPr>
        <w:t xml:space="preserve"> </w:t>
      </w:r>
      <w:r w:rsidRPr="00081876">
        <w:t xml:space="preserve">interpuesto por </w:t>
      </w:r>
      <w:r w:rsidRPr="00AF4B68">
        <w:t>la</w:t>
      </w:r>
      <w:r w:rsidRPr="00081876">
        <w:rPr>
          <w:b/>
          <w:bCs/>
        </w:rPr>
        <w:t xml:space="preserve"> </w:t>
      </w:r>
      <w:proofErr w:type="gramStart"/>
      <w:r>
        <w:rPr>
          <w:b/>
          <w:bCs/>
          <w:smallCaps/>
        </w:rPr>
        <w:t>EM..</w:t>
      </w:r>
      <w:proofErr w:type="gramEnd"/>
      <w:r w:rsidRPr="00081876">
        <w:rPr>
          <w:b/>
          <w:bCs/>
          <w:smallCaps/>
        </w:rPr>
        <w:t xml:space="preserve"> Limitada</w:t>
      </w:r>
      <w:r w:rsidRPr="00081876">
        <w:rPr>
          <w:b/>
          <w:bCs/>
        </w:rPr>
        <w:t xml:space="preserve">, </w:t>
      </w:r>
      <w:r w:rsidRPr="00081876">
        <w:rPr>
          <w:bCs/>
        </w:rPr>
        <w:t xml:space="preserve">cédula jurídica número </w:t>
      </w:r>
      <w:r>
        <w:rPr>
          <w:bCs/>
        </w:rPr>
        <w:t>...</w:t>
      </w:r>
      <w:r w:rsidRPr="00081876">
        <w:rPr>
          <w:bCs/>
        </w:rPr>
        <w:t xml:space="preserve">, </w:t>
      </w:r>
      <w:r w:rsidRPr="00081876">
        <w:t xml:space="preserve">por medio de sus apoderados generalísimos sin límite de Suma, señores </w:t>
      </w:r>
      <w:r>
        <w:rPr>
          <w:bCs/>
        </w:rPr>
        <w:t>GC</w:t>
      </w:r>
      <w:r w:rsidRPr="00081876">
        <w:rPr>
          <w:bCs/>
        </w:rPr>
        <w:t>, cédula de identidad número</w:t>
      </w:r>
      <w:proofErr w:type="gramStart"/>
      <w:r w:rsidRPr="00081876">
        <w:rPr>
          <w:bCs/>
        </w:rPr>
        <w:t xml:space="preserve"> </w:t>
      </w:r>
      <w:r>
        <w:rPr>
          <w:bCs/>
        </w:rPr>
        <w:t>..</w:t>
      </w:r>
      <w:proofErr w:type="gramEnd"/>
      <w:r w:rsidRPr="00081876">
        <w:rPr>
          <w:bCs/>
        </w:rPr>
        <w:t xml:space="preserve"> y </w:t>
      </w:r>
      <w:r>
        <w:rPr>
          <w:bCs/>
        </w:rPr>
        <w:t>FH</w:t>
      </w:r>
      <w:r w:rsidRPr="00081876">
        <w:rPr>
          <w:bCs/>
        </w:rPr>
        <w:t xml:space="preserve"> cédula de identidad número </w:t>
      </w:r>
      <w:r>
        <w:rPr>
          <w:bCs/>
        </w:rPr>
        <w:t>...</w:t>
      </w:r>
      <w:r w:rsidRPr="00081876">
        <w:rPr>
          <w:bCs/>
        </w:rPr>
        <w:t xml:space="preserve">, </w:t>
      </w:r>
      <w:r w:rsidRPr="00081876">
        <w:t xml:space="preserve">contra el </w:t>
      </w:r>
      <w:r w:rsidRPr="00081876">
        <w:rPr>
          <w:b/>
          <w:bCs/>
        </w:rPr>
        <w:t xml:space="preserve">Artículo </w:t>
      </w:r>
      <w:r>
        <w:rPr>
          <w:b/>
          <w:bCs/>
        </w:rPr>
        <w:t>1.2 de l</w:t>
      </w:r>
      <w:r w:rsidRPr="00081876">
        <w:rPr>
          <w:b/>
          <w:bCs/>
        </w:rPr>
        <w:t xml:space="preserve">a Sesión Ordinaria 54-2014 del 25 de setiembre de 2014 </w:t>
      </w:r>
      <w:r w:rsidRPr="00081876">
        <w:rPr>
          <w:bCs/>
        </w:rPr>
        <w:t>celebrado por la Junta Directiva del Consejo de Transporte Público</w:t>
      </w:r>
      <w:r w:rsidRPr="00081876">
        <w:rPr>
          <w:b/>
          <w:bCs/>
        </w:rPr>
        <w:t xml:space="preserve">. </w:t>
      </w:r>
      <w:r w:rsidRPr="00081876">
        <w:t xml:space="preserve">El caso es tramitado en este Despacho bajo el </w:t>
      </w:r>
      <w:r w:rsidRPr="00081876">
        <w:rPr>
          <w:b/>
          <w:bCs/>
        </w:rPr>
        <w:t>Expediente Administrativo TAT-225-15.</w:t>
      </w:r>
    </w:p>
    <w:p w:rsidR="00214A74" w:rsidRPr="00F258B7" w:rsidRDefault="00214A74" w:rsidP="00214A74">
      <w:pPr>
        <w:spacing w:line="300" w:lineRule="exact"/>
        <w:jc w:val="both"/>
        <w:rPr>
          <w:b/>
        </w:rPr>
      </w:pPr>
    </w:p>
    <w:p w:rsidR="00214A74" w:rsidRPr="00F258B7" w:rsidRDefault="00214A74" w:rsidP="00214A74">
      <w:pPr>
        <w:pStyle w:val="Textoindependiente2"/>
        <w:spacing w:after="0" w:line="276" w:lineRule="auto"/>
        <w:jc w:val="center"/>
        <w:rPr>
          <w:b/>
        </w:rPr>
      </w:pPr>
      <w:r w:rsidRPr="00F258B7">
        <w:rPr>
          <w:b/>
        </w:rPr>
        <w:t>RESULTANDO</w:t>
      </w:r>
    </w:p>
    <w:p w:rsidR="00214A74" w:rsidRPr="00F258B7" w:rsidRDefault="00214A74" w:rsidP="00214A74">
      <w:pPr>
        <w:pStyle w:val="Textoindependiente2"/>
        <w:spacing w:after="0" w:line="276" w:lineRule="auto"/>
        <w:jc w:val="center"/>
        <w:rPr>
          <w:b/>
        </w:rPr>
      </w:pPr>
    </w:p>
    <w:p w:rsidR="00214A74" w:rsidRPr="00081876" w:rsidRDefault="00214A74" w:rsidP="00214A74">
      <w:pPr>
        <w:kinsoku w:val="0"/>
        <w:overflowPunct w:val="0"/>
        <w:spacing w:line="276" w:lineRule="auto"/>
        <w:jc w:val="both"/>
        <w:textAlignment w:val="baseline"/>
        <w:rPr>
          <w:spacing w:val="7"/>
          <w:sz w:val="23"/>
          <w:szCs w:val="23"/>
        </w:rPr>
      </w:pPr>
      <w:r w:rsidRPr="00081876">
        <w:rPr>
          <w:b/>
          <w:bCs/>
          <w:spacing w:val="7"/>
          <w:sz w:val="23"/>
          <w:szCs w:val="23"/>
        </w:rPr>
        <w:t xml:space="preserve">PRIMERO: </w:t>
      </w:r>
      <w:r w:rsidRPr="00081876">
        <w:rPr>
          <w:spacing w:val="7"/>
          <w:sz w:val="23"/>
          <w:szCs w:val="23"/>
        </w:rPr>
        <w:t xml:space="preserve">La Junta Directiva del Consejo de Transporte Público, mediante artículo </w:t>
      </w:r>
      <w:r>
        <w:rPr>
          <w:b/>
          <w:bCs/>
          <w:spacing w:val="7"/>
          <w:sz w:val="23"/>
          <w:szCs w:val="23"/>
        </w:rPr>
        <w:t>1.2 de l</w:t>
      </w:r>
      <w:r w:rsidRPr="00081876">
        <w:rPr>
          <w:b/>
          <w:bCs/>
          <w:spacing w:val="7"/>
          <w:sz w:val="23"/>
          <w:szCs w:val="23"/>
        </w:rPr>
        <w:t xml:space="preserve">a Sesión Ordinaria 54-2014 del 25 de setiembre de 2014, </w:t>
      </w:r>
      <w:r w:rsidRPr="00081876">
        <w:rPr>
          <w:spacing w:val="7"/>
          <w:sz w:val="23"/>
          <w:szCs w:val="23"/>
        </w:rPr>
        <w:t xml:space="preserve">dispuso lo siguiente: (Léanse folios del 17 y 18 del expediente </w:t>
      </w:r>
      <w:r>
        <w:rPr>
          <w:spacing w:val="7"/>
          <w:sz w:val="23"/>
          <w:szCs w:val="23"/>
        </w:rPr>
        <w:t>TAT-225-15</w:t>
      </w:r>
      <w:r w:rsidRPr="00081876">
        <w:rPr>
          <w:spacing w:val="7"/>
          <w:sz w:val="23"/>
          <w:szCs w:val="23"/>
        </w:rPr>
        <w:t>)</w:t>
      </w:r>
    </w:p>
    <w:p w:rsidR="00214A74" w:rsidRDefault="00214A74" w:rsidP="00214A74">
      <w:pPr>
        <w:kinsoku w:val="0"/>
        <w:overflowPunct w:val="0"/>
        <w:ind w:left="851" w:right="851"/>
        <w:jc w:val="both"/>
        <w:textAlignment w:val="baseline"/>
        <w:rPr>
          <w:b/>
          <w:bCs/>
          <w:i/>
          <w:iCs/>
          <w:sz w:val="17"/>
          <w:szCs w:val="17"/>
        </w:rPr>
      </w:pPr>
    </w:p>
    <w:p w:rsidR="00214A74" w:rsidRPr="008C0768" w:rsidRDefault="00214A74" w:rsidP="00214A74">
      <w:pPr>
        <w:kinsoku w:val="0"/>
        <w:overflowPunct w:val="0"/>
        <w:ind w:left="851" w:right="851"/>
        <w:jc w:val="both"/>
        <w:textAlignment w:val="baseline"/>
        <w:rPr>
          <w:spacing w:val="7"/>
          <w:sz w:val="20"/>
          <w:szCs w:val="20"/>
        </w:rPr>
      </w:pPr>
      <w:r>
        <w:rPr>
          <w:bCs/>
          <w:iCs/>
        </w:rPr>
        <w:t>“</w:t>
      </w:r>
      <w:r w:rsidRPr="00AF4B68">
        <w:rPr>
          <w:b/>
          <w:bCs/>
          <w:iCs/>
          <w:sz w:val="20"/>
          <w:szCs w:val="20"/>
        </w:rPr>
        <w:t>ARTICULO 1.2:</w:t>
      </w:r>
      <w:r w:rsidRPr="00AF4B68">
        <w:rPr>
          <w:bCs/>
          <w:iCs/>
          <w:sz w:val="20"/>
          <w:szCs w:val="20"/>
        </w:rPr>
        <w:t xml:space="preserve"> Referente a la Renovación de la concesión de la </w:t>
      </w:r>
      <w:proofErr w:type="gramStart"/>
      <w:r>
        <w:rPr>
          <w:bCs/>
          <w:iCs/>
          <w:sz w:val="20"/>
          <w:szCs w:val="20"/>
        </w:rPr>
        <w:t>EM..</w:t>
      </w:r>
      <w:proofErr w:type="gramEnd"/>
      <w:r w:rsidRPr="00AF4B68">
        <w:rPr>
          <w:bCs/>
          <w:iCs/>
          <w:sz w:val="20"/>
          <w:szCs w:val="20"/>
        </w:rPr>
        <w:t xml:space="preserve"> Limitada.</w:t>
      </w:r>
    </w:p>
    <w:p w:rsidR="00214A74" w:rsidRPr="008C0768" w:rsidRDefault="00214A74" w:rsidP="00214A74">
      <w:pPr>
        <w:kinsoku w:val="0"/>
        <w:overflowPunct w:val="0"/>
        <w:ind w:left="851" w:right="851"/>
        <w:jc w:val="both"/>
        <w:textAlignment w:val="baseline"/>
        <w:rPr>
          <w:bCs/>
          <w:iCs/>
          <w:spacing w:val="7"/>
          <w:sz w:val="20"/>
          <w:szCs w:val="20"/>
        </w:rPr>
      </w:pPr>
    </w:p>
    <w:p w:rsidR="00214A74" w:rsidRPr="008C0768" w:rsidRDefault="00214A74" w:rsidP="00214A74">
      <w:pPr>
        <w:kinsoku w:val="0"/>
        <w:overflowPunct w:val="0"/>
        <w:ind w:left="851" w:right="851"/>
        <w:jc w:val="both"/>
        <w:textAlignment w:val="baseline"/>
        <w:rPr>
          <w:b/>
          <w:bCs/>
          <w:iCs/>
          <w:spacing w:val="7"/>
          <w:sz w:val="20"/>
          <w:szCs w:val="20"/>
        </w:rPr>
      </w:pPr>
      <w:r w:rsidRPr="008C0768">
        <w:rPr>
          <w:b/>
          <w:bCs/>
          <w:iCs/>
          <w:spacing w:val="7"/>
          <w:sz w:val="20"/>
          <w:szCs w:val="20"/>
        </w:rPr>
        <w:t>CONSIDERANDO</w:t>
      </w:r>
    </w:p>
    <w:p w:rsidR="00214A74" w:rsidRPr="008C0768" w:rsidRDefault="00214A74" w:rsidP="00214A74">
      <w:pPr>
        <w:kinsoku w:val="0"/>
        <w:overflowPunct w:val="0"/>
        <w:ind w:left="851" w:right="851"/>
        <w:jc w:val="both"/>
        <w:textAlignment w:val="baseline"/>
        <w:rPr>
          <w:b/>
          <w:bCs/>
          <w:iCs/>
          <w:spacing w:val="7"/>
          <w:sz w:val="20"/>
          <w:szCs w:val="20"/>
        </w:rPr>
      </w:pPr>
    </w:p>
    <w:p w:rsidR="00214A74" w:rsidRDefault="00214A74" w:rsidP="00214A74">
      <w:pPr>
        <w:kinsoku w:val="0"/>
        <w:overflowPunct w:val="0"/>
        <w:ind w:left="851" w:right="851"/>
        <w:jc w:val="both"/>
        <w:textAlignment w:val="baseline"/>
        <w:rPr>
          <w:spacing w:val="7"/>
        </w:rPr>
      </w:pPr>
      <w:r w:rsidRPr="008C0768">
        <w:rPr>
          <w:b/>
          <w:spacing w:val="7"/>
          <w:sz w:val="20"/>
          <w:szCs w:val="20"/>
        </w:rPr>
        <w:t>PRIMERO:</w:t>
      </w:r>
      <w:r w:rsidRPr="008C0768">
        <w:rPr>
          <w:spacing w:val="7"/>
          <w:sz w:val="20"/>
          <w:szCs w:val="20"/>
        </w:rPr>
        <w:t xml:space="preserve"> </w:t>
      </w:r>
      <w:r w:rsidRPr="00AF4B68">
        <w:rPr>
          <w:bCs/>
          <w:iCs/>
          <w:sz w:val="20"/>
          <w:szCs w:val="20"/>
        </w:rPr>
        <w:t xml:space="preserve">Que este órgano Colegiado después de realizar el análisis de la solicitud de renovación de concesión de la ruta 1502, cuya operadora es la </w:t>
      </w:r>
      <w:proofErr w:type="gramStart"/>
      <w:r>
        <w:rPr>
          <w:bCs/>
          <w:iCs/>
          <w:sz w:val="20"/>
          <w:szCs w:val="20"/>
        </w:rPr>
        <w:t>EM..</w:t>
      </w:r>
      <w:proofErr w:type="gramEnd"/>
      <w:r w:rsidRPr="00AF4B68">
        <w:rPr>
          <w:bCs/>
          <w:iCs/>
          <w:sz w:val="20"/>
          <w:szCs w:val="20"/>
        </w:rPr>
        <w:t xml:space="preserve"> S.A., se mociona para que se rechace la renovación, toda vez que al tenor de lo dispuesto en el voto 1427- de las catorce horas del 23 de octubre del 2012, de la Sala Primera, en el "Por Tanto" se dispuso proceder a la licitación pública de dicha ruta, siempre que los estudios técnicos demuestren la necesidad del servicio.</w:t>
      </w:r>
    </w:p>
    <w:p w:rsidR="00214A74" w:rsidRPr="008C0768" w:rsidRDefault="00214A74" w:rsidP="00214A74">
      <w:pPr>
        <w:kinsoku w:val="0"/>
        <w:overflowPunct w:val="0"/>
        <w:ind w:left="851" w:right="851"/>
        <w:jc w:val="both"/>
        <w:textAlignment w:val="baseline"/>
        <w:rPr>
          <w:spacing w:val="7"/>
          <w:sz w:val="20"/>
          <w:szCs w:val="20"/>
        </w:rPr>
      </w:pPr>
    </w:p>
    <w:p w:rsidR="00214A74" w:rsidRPr="008C0768" w:rsidRDefault="00214A74" w:rsidP="00214A74">
      <w:pPr>
        <w:kinsoku w:val="0"/>
        <w:overflowPunct w:val="0"/>
        <w:ind w:left="851" w:right="851"/>
        <w:jc w:val="both"/>
        <w:textAlignment w:val="baseline"/>
        <w:rPr>
          <w:spacing w:val="7"/>
          <w:sz w:val="20"/>
          <w:szCs w:val="20"/>
        </w:rPr>
      </w:pPr>
      <w:r w:rsidRPr="008C0768">
        <w:rPr>
          <w:b/>
          <w:spacing w:val="7"/>
          <w:sz w:val="20"/>
          <w:szCs w:val="20"/>
        </w:rPr>
        <w:t>SEGUNDO:</w:t>
      </w:r>
      <w:r w:rsidRPr="00AF4B68">
        <w:rPr>
          <w:bCs/>
          <w:iCs/>
          <w:sz w:val="20"/>
          <w:szCs w:val="20"/>
        </w:rPr>
        <w:t xml:space="preserve"> Que el tomar otra decisión por parte de este Órgano Colegiado, constituiría una evidente desobediencia a la Autoridad, pues estamos ante un fallo judicial.</w:t>
      </w:r>
    </w:p>
    <w:p w:rsidR="00214A74" w:rsidRDefault="00214A74" w:rsidP="00214A74">
      <w:pPr>
        <w:kinsoku w:val="0"/>
        <w:overflowPunct w:val="0"/>
        <w:ind w:left="851" w:right="851"/>
        <w:jc w:val="both"/>
        <w:textAlignment w:val="baseline"/>
        <w:rPr>
          <w:spacing w:val="7"/>
        </w:rPr>
      </w:pPr>
    </w:p>
    <w:p w:rsidR="00214A74" w:rsidRPr="008C0768" w:rsidRDefault="00214A74" w:rsidP="00214A74">
      <w:pPr>
        <w:kinsoku w:val="0"/>
        <w:overflowPunct w:val="0"/>
        <w:ind w:left="851" w:right="851"/>
        <w:jc w:val="both"/>
        <w:textAlignment w:val="baseline"/>
        <w:rPr>
          <w:spacing w:val="7"/>
          <w:sz w:val="20"/>
          <w:szCs w:val="20"/>
        </w:rPr>
      </w:pPr>
      <w:r w:rsidRPr="008C0768">
        <w:rPr>
          <w:b/>
          <w:spacing w:val="7"/>
          <w:sz w:val="20"/>
          <w:szCs w:val="20"/>
        </w:rPr>
        <w:t>TERCERO:</w:t>
      </w:r>
      <w:r w:rsidRPr="00AF4B68">
        <w:rPr>
          <w:bCs/>
          <w:iCs/>
          <w:sz w:val="20"/>
          <w:szCs w:val="20"/>
        </w:rPr>
        <w:t xml:space="preserve"> Que en aras de no causar un eventual perjuicio al usuario que utiliza el servicio en la ruta 1502, resulta conveniente por ahora, autorizar que la precitada empresa continúe con la prestación del servicio, pero en la modalidad de permisionario, hasta tan </w:t>
      </w:r>
      <w:proofErr w:type="spellStart"/>
      <w:r w:rsidRPr="00AF4B68">
        <w:rPr>
          <w:bCs/>
          <w:iCs/>
          <w:sz w:val="20"/>
          <w:szCs w:val="20"/>
        </w:rPr>
        <w:t>to</w:t>
      </w:r>
      <w:proofErr w:type="spellEnd"/>
      <w:r w:rsidRPr="00AF4B68">
        <w:rPr>
          <w:bCs/>
          <w:iCs/>
          <w:sz w:val="20"/>
          <w:szCs w:val="20"/>
        </w:rPr>
        <w:t xml:space="preserve"> se realicen los estudios técnicos que demuestren sí o no, la necesidad de continuar con la prestación del servicio descrito bajo el código de ruta 1502.</w:t>
      </w:r>
    </w:p>
    <w:p w:rsidR="00214A74" w:rsidRDefault="00214A74" w:rsidP="00214A74">
      <w:pPr>
        <w:kinsoku w:val="0"/>
        <w:overflowPunct w:val="0"/>
        <w:ind w:left="851" w:right="851"/>
        <w:jc w:val="both"/>
        <w:textAlignment w:val="baseline"/>
        <w:rPr>
          <w:spacing w:val="7"/>
        </w:rPr>
      </w:pPr>
    </w:p>
    <w:p w:rsidR="00214A74" w:rsidRPr="00AF4B68" w:rsidRDefault="00214A74" w:rsidP="00214A74">
      <w:pPr>
        <w:kinsoku w:val="0"/>
        <w:overflowPunct w:val="0"/>
        <w:ind w:left="851" w:right="851"/>
        <w:jc w:val="both"/>
        <w:textAlignment w:val="baseline"/>
        <w:rPr>
          <w:bCs/>
          <w:iCs/>
          <w:sz w:val="20"/>
          <w:szCs w:val="20"/>
        </w:rPr>
      </w:pPr>
      <w:r w:rsidRPr="008C0768">
        <w:rPr>
          <w:b/>
          <w:spacing w:val="7"/>
          <w:sz w:val="20"/>
          <w:szCs w:val="20"/>
        </w:rPr>
        <w:t>CUARTO:</w:t>
      </w:r>
      <w:r w:rsidRPr="008C0768">
        <w:rPr>
          <w:spacing w:val="7"/>
          <w:sz w:val="20"/>
          <w:szCs w:val="20"/>
        </w:rPr>
        <w:t xml:space="preserve"> </w:t>
      </w:r>
      <w:proofErr w:type="gramStart"/>
      <w:r w:rsidRPr="00AF4B68">
        <w:rPr>
          <w:bCs/>
          <w:iCs/>
          <w:sz w:val="20"/>
          <w:szCs w:val="20"/>
        </w:rPr>
        <w:t>Que</w:t>
      </w:r>
      <w:proofErr w:type="gramEnd"/>
      <w:r w:rsidRPr="00AF4B68">
        <w:rPr>
          <w:bCs/>
          <w:iCs/>
          <w:sz w:val="20"/>
          <w:szCs w:val="20"/>
        </w:rPr>
        <w:t xml:space="preserve"> en la precitada sentencia judicial, también se ordena sacar a licitación la ruta 1506, sin embargo, dicho código de ruta fue eliminado; por lo que resulta innecesario ordenar la licitación de esta ruta, haciendo la siguiente salvedad: </w:t>
      </w:r>
      <w:r w:rsidRPr="00AF4B68">
        <w:rPr>
          <w:b/>
          <w:bCs/>
          <w:iCs/>
          <w:sz w:val="20"/>
          <w:szCs w:val="20"/>
          <w:u w:val="single"/>
        </w:rPr>
        <w:t>en caso de que a futuro se llegare a reactivar el código y ruta 1506, deberá ser mediante la figura de licitación, todo en acatamiento de la precitada sentencia judicial.</w:t>
      </w:r>
    </w:p>
    <w:p w:rsidR="00214A74" w:rsidRDefault="00214A74" w:rsidP="00214A74">
      <w:pPr>
        <w:kinsoku w:val="0"/>
        <w:overflowPunct w:val="0"/>
        <w:ind w:left="851" w:right="851"/>
        <w:jc w:val="both"/>
        <w:textAlignment w:val="baseline"/>
        <w:rPr>
          <w:spacing w:val="7"/>
        </w:rPr>
      </w:pPr>
    </w:p>
    <w:p w:rsidR="00214A74" w:rsidRPr="008C0768" w:rsidRDefault="00214A74" w:rsidP="00214A74">
      <w:pPr>
        <w:kinsoku w:val="0"/>
        <w:overflowPunct w:val="0"/>
        <w:ind w:left="851" w:right="851"/>
        <w:jc w:val="both"/>
        <w:textAlignment w:val="baseline"/>
        <w:rPr>
          <w:spacing w:val="7"/>
        </w:rPr>
      </w:pPr>
      <w:r w:rsidRPr="008C0768">
        <w:rPr>
          <w:b/>
          <w:spacing w:val="7"/>
          <w:sz w:val="20"/>
          <w:szCs w:val="20"/>
        </w:rPr>
        <w:lastRenderedPageBreak/>
        <w:t>QUINTO:</w:t>
      </w:r>
      <w:r w:rsidRPr="008C0768">
        <w:rPr>
          <w:spacing w:val="7"/>
          <w:sz w:val="20"/>
          <w:szCs w:val="20"/>
        </w:rPr>
        <w:t xml:space="preserve"> </w:t>
      </w:r>
      <w:r w:rsidRPr="00AF4B68">
        <w:rPr>
          <w:bCs/>
          <w:iCs/>
          <w:sz w:val="20"/>
          <w:szCs w:val="20"/>
        </w:rPr>
        <w:t>Aprobar todas las recomendaciones emitidas en el oficio DAJ- 2014</w:t>
      </w:r>
      <w:r w:rsidRPr="00AF4B68">
        <w:rPr>
          <w:bCs/>
          <w:iCs/>
          <w:sz w:val="20"/>
          <w:szCs w:val="20"/>
        </w:rPr>
        <w:softHyphen/>
        <w:t>003283, basado en los fundamentos, motivos y contenidos desarrollados en dicho criterio, el cual forma parte integral de esta acta.</w:t>
      </w:r>
    </w:p>
    <w:p w:rsidR="00214A74" w:rsidRPr="008C0768" w:rsidRDefault="00214A74" w:rsidP="00214A74">
      <w:pPr>
        <w:kinsoku w:val="0"/>
        <w:overflowPunct w:val="0"/>
        <w:ind w:left="851" w:right="851"/>
        <w:jc w:val="both"/>
        <w:textAlignment w:val="baseline"/>
        <w:rPr>
          <w:spacing w:val="7"/>
          <w:sz w:val="20"/>
          <w:szCs w:val="20"/>
        </w:rPr>
      </w:pPr>
    </w:p>
    <w:p w:rsidR="00214A74" w:rsidRPr="008C0768" w:rsidRDefault="00214A74" w:rsidP="00214A74">
      <w:pPr>
        <w:kinsoku w:val="0"/>
        <w:overflowPunct w:val="0"/>
        <w:ind w:left="851" w:right="851"/>
        <w:jc w:val="both"/>
        <w:textAlignment w:val="baseline"/>
        <w:rPr>
          <w:b/>
          <w:spacing w:val="7"/>
        </w:rPr>
      </w:pPr>
      <w:r>
        <w:rPr>
          <w:b/>
          <w:spacing w:val="7"/>
        </w:rPr>
        <w:t>POR TANTO, SE ACUERDA EN FIRME</w:t>
      </w:r>
    </w:p>
    <w:p w:rsidR="00214A74" w:rsidRPr="008C0768" w:rsidRDefault="00214A74" w:rsidP="00214A74">
      <w:pPr>
        <w:widowControl w:val="0"/>
        <w:numPr>
          <w:ilvl w:val="0"/>
          <w:numId w:val="1"/>
        </w:numPr>
        <w:kinsoku w:val="0"/>
        <w:overflowPunct w:val="0"/>
        <w:ind w:left="851" w:right="851"/>
        <w:jc w:val="both"/>
        <w:textAlignment w:val="baseline"/>
        <w:rPr>
          <w:bCs/>
          <w:iCs/>
          <w:sz w:val="20"/>
          <w:szCs w:val="20"/>
        </w:rPr>
      </w:pPr>
      <w:r w:rsidRPr="008C0768">
        <w:rPr>
          <w:bCs/>
          <w:iCs/>
          <w:sz w:val="20"/>
          <w:szCs w:val="20"/>
        </w:rPr>
        <w:t>Rechazar la solicitud de renovación de concesión de la ruta 1502, al tenor de lo dispuesto en la sentencia 1427- de las catorce horas del 23 de octubre del 2012, de la Sala Primera.</w:t>
      </w:r>
    </w:p>
    <w:p w:rsidR="00214A74" w:rsidRPr="00AF4B68" w:rsidRDefault="00214A74" w:rsidP="00214A74">
      <w:pPr>
        <w:widowControl w:val="0"/>
        <w:numPr>
          <w:ilvl w:val="0"/>
          <w:numId w:val="1"/>
        </w:numPr>
        <w:kinsoku w:val="0"/>
        <w:overflowPunct w:val="0"/>
        <w:ind w:left="851" w:right="851"/>
        <w:jc w:val="both"/>
        <w:textAlignment w:val="baseline"/>
        <w:rPr>
          <w:bCs/>
          <w:iCs/>
          <w:sz w:val="20"/>
          <w:szCs w:val="20"/>
        </w:rPr>
      </w:pPr>
      <w:proofErr w:type="gramStart"/>
      <w:r w:rsidRPr="00AF4B68">
        <w:rPr>
          <w:bCs/>
          <w:iCs/>
          <w:sz w:val="20"/>
          <w:szCs w:val="20"/>
        </w:rPr>
        <w:t>Que</w:t>
      </w:r>
      <w:proofErr w:type="gramEnd"/>
      <w:r w:rsidRPr="00AF4B68">
        <w:rPr>
          <w:bCs/>
          <w:iCs/>
          <w:sz w:val="20"/>
          <w:szCs w:val="20"/>
        </w:rPr>
        <w:t xml:space="preserve"> en cumplimiento de lo dispuesto por los Tribunales de Justicia, se instruye a la Dirección Ejecutiva, para que ordene la realización de los estudios técnicos que demuestren o descarten la necesidad y continuidad del servicio antes indicado.</w:t>
      </w:r>
    </w:p>
    <w:p w:rsidR="00214A74" w:rsidRPr="00AF4B68" w:rsidRDefault="00214A74" w:rsidP="00214A74">
      <w:pPr>
        <w:widowControl w:val="0"/>
        <w:numPr>
          <w:ilvl w:val="0"/>
          <w:numId w:val="1"/>
        </w:numPr>
        <w:kinsoku w:val="0"/>
        <w:overflowPunct w:val="0"/>
        <w:ind w:left="851" w:right="851"/>
        <w:jc w:val="both"/>
        <w:textAlignment w:val="baseline"/>
        <w:rPr>
          <w:bCs/>
          <w:iCs/>
          <w:sz w:val="20"/>
          <w:szCs w:val="20"/>
        </w:rPr>
      </w:pPr>
      <w:r w:rsidRPr="00AF4B68">
        <w:rPr>
          <w:bCs/>
          <w:iCs/>
          <w:sz w:val="20"/>
          <w:szCs w:val="20"/>
        </w:rPr>
        <w:t xml:space="preserve">Que en aras de no causar un eventual perjuicio al usuario que utiliza el servicio en la ruta 1502, resulta conveniente por ahora, autorizar que la precitada empresa continúe con la prestación del servicio en la modalidad de permisionario hasta tan </w:t>
      </w:r>
      <w:proofErr w:type="spellStart"/>
      <w:r w:rsidRPr="00AF4B68">
        <w:rPr>
          <w:bCs/>
          <w:iCs/>
          <w:sz w:val="20"/>
          <w:szCs w:val="20"/>
        </w:rPr>
        <w:t>to</w:t>
      </w:r>
      <w:proofErr w:type="spellEnd"/>
      <w:r w:rsidRPr="00AF4B68">
        <w:rPr>
          <w:bCs/>
          <w:iCs/>
          <w:sz w:val="20"/>
          <w:szCs w:val="20"/>
        </w:rPr>
        <w:t xml:space="preserve"> se realicen los estudios técnicos que demuestren sí o no, la necesidad de continuar con la prestación del servicio descrito bajo el código de ruta 1502.</w:t>
      </w:r>
    </w:p>
    <w:p w:rsidR="00214A74" w:rsidRPr="008C0768" w:rsidRDefault="00214A74" w:rsidP="00214A74">
      <w:pPr>
        <w:widowControl w:val="0"/>
        <w:numPr>
          <w:ilvl w:val="0"/>
          <w:numId w:val="1"/>
        </w:numPr>
        <w:kinsoku w:val="0"/>
        <w:overflowPunct w:val="0"/>
        <w:ind w:left="851" w:right="851"/>
        <w:jc w:val="both"/>
        <w:textAlignment w:val="baseline"/>
        <w:rPr>
          <w:bCs/>
          <w:iCs/>
          <w:sz w:val="20"/>
          <w:szCs w:val="20"/>
        </w:rPr>
      </w:pPr>
      <w:r w:rsidRPr="008C0768">
        <w:rPr>
          <w:bCs/>
          <w:iCs/>
          <w:sz w:val="20"/>
          <w:szCs w:val="20"/>
        </w:rPr>
        <w:t>Q</w:t>
      </w:r>
      <w:r>
        <w:rPr>
          <w:bCs/>
          <w:iCs/>
          <w:sz w:val="20"/>
          <w:szCs w:val="20"/>
        </w:rPr>
        <w:t>ue en caso de que a futuro se ll</w:t>
      </w:r>
      <w:r w:rsidRPr="008C0768">
        <w:rPr>
          <w:bCs/>
          <w:iCs/>
          <w:sz w:val="20"/>
          <w:szCs w:val="20"/>
        </w:rPr>
        <w:t>egare a reactivar la ruta 1506 y su código, será mediante la figura de licitación, todo en acatamiento de la precitada sentencia judicial</w:t>
      </w:r>
      <w:r>
        <w:rPr>
          <w:bCs/>
          <w:iCs/>
          <w:sz w:val="20"/>
          <w:szCs w:val="20"/>
        </w:rPr>
        <w:t>.</w:t>
      </w:r>
    </w:p>
    <w:p w:rsidR="00214A74" w:rsidRPr="008C0768" w:rsidRDefault="00214A74" w:rsidP="00214A74">
      <w:pPr>
        <w:widowControl w:val="0"/>
        <w:numPr>
          <w:ilvl w:val="0"/>
          <w:numId w:val="1"/>
        </w:numPr>
        <w:kinsoku w:val="0"/>
        <w:overflowPunct w:val="0"/>
        <w:ind w:left="851" w:right="851"/>
        <w:jc w:val="both"/>
        <w:textAlignment w:val="baseline"/>
        <w:rPr>
          <w:bCs/>
          <w:iCs/>
          <w:sz w:val="20"/>
          <w:szCs w:val="20"/>
        </w:rPr>
      </w:pPr>
      <w:r w:rsidRPr="008C0768">
        <w:rPr>
          <w:bCs/>
          <w:iCs/>
          <w:sz w:val="20"/>
          <w:szCs w:val="20"/>
        </w:rPr>
        <w:t>Aprobar y acoger todas las recomendaciones emitidas en el oficio DAJ- 2014</w:t>
      </w:r>
      <w:r w:rsidRPr="008C0768">
        <w:rPr>
          <w:bCs/>
          <w:iCs/>
          <w:sz w:val="20"/>
          <w:szCs w:val="20"/>
        </w:rPr>
        <w:softHyphen/>
        <w:t>003283, basado en los fundamentos, motivos y contenidos desarrollados en dicho criterio, el cual forma parte integral de esta acta.</w:t>
      </w:r>
      <w:r>
        <w:rPr>
          <w:bCs/>
          <w:iCs/>
          <w:sz w:val="20"/>
          <w:szCs w:val="20"/>
        </w:rPr>
        <w:t xml:space="preserve"> (…)”</w:t>
      </w:r>
    </w:p>
    <w:p w:rsidR="00214A74" w:rsidRDefault="00214A74" w:rsidP="00214A74">
      <w:pPr>
        <w:kinsoku w:val="0"/>
        <w:overflowPunct w:val="0"/>
        <w:spacing w:line="291" w:lineRule="exact"/>
        <w:ind w:left="144" w:right="72"/>
        <w:jc w:val="both"/>
        <w:textAlignment w:val="baseline"/>
        <w:rPr>
          <w:b/>
          <w:bCs/>
        </w:rPr>
      </w:pPr>
    </w:p>
    <w:p w:rsidR="00214A74" w:rsidRDefault="00214A74" w:rsidP="00214A74">
      <w:pPr>
        <w:kinsoku w:val="0"/>
        <w:overflowPunct w:val="0"/>
        <w:spacing w:line="291" w:lineRule="exact"/>
        <w:ind w:left="144" w:right="72"/>
        <w:jc w:val="both"/>
        <w:textAlignment w:val="baseline"/>
        <w:rPr>
          <w:b/>
          <w:bCs/>
        </w:rPr>
      </w:pPr>
    </w:p>
    <w:p w:rsidR="00214A74" w:rsidRPr="00081876" w:rsidRDefault="00214A74" w:rsidP="00214A74">
      <w:pPr>
        <w:kinsoku w:val="0"/>
        <w:overflowPunct w:val="0"/>
        <w:spacing w:line="276" w:lineRule="auto"/>
        <w:ind w:left="144" w:right="72"/>
        <w:jc w:val="both"/>
        <w:textAlignment w:val="baseline"/>
      </w:pPr>
      <w:r w:rsidRPr="00081876">
        <w:rPr>
          <w:b/>
          <w:bCs/>
        </w:rPr>
        <w:t xml:space="preserve">SEGUNDO: </w:t>
      </w:r>
      <w:r w:rsidRPr="00081876">
        <w:t xml:space="preserve">La </w:t>
      </w:r>
      <w:proofErr w:type="gramStart"/>
      <w:r>
        <w:rPr>
          <w:b/>
          <w:bCs/>
          <w:smallCaps/>
        </w:rPr>
        <w:t>EM..</w:t>
      </w:r>
      <w:proofErr w:type="gramEnd"/>
      <w:r w:rsidRPr="00081876">
        <w:rPr>
          <w:b/>
          <w:bCs/>
          <w:smallCaps/>
        </w:rPr>
        <w:t xml:space="preserve"> Limitada</w:t>
      </w:r>
      <w:r>
        <w:rPr>
          <w:b/>
          <w:bCs/>
          <w:smallCaps/>
        </w:rPr>
        <w:t>.</w:t>
      </w:r>
      <w:r w:rsidRPr="0031403F">
        <w:rPr>
          <w:bCs/>
          <w:smallCaps/>
        </w:rPr>
        <w:t>,</w:t>
      </w:r>
      <w:r>
        <w:rPr>
          <w:b/>
          <w:bCs/>
          <w:smallCaps/>
        </w:rPr>
        <w:t xml:space="preserve"> </w:t>
      </w:r>
      <w:r w:rsidRPr="00081876">
        <w:t>presenta recurso de Apelación en subsidio y nulidad contra el acuerdo impugnado indicando en lo conducente: (Léanse folios del 27 al 64 del expediente administrativo).</w:t>
      </w:r>
    </w:p>
    <w:p w:rsidR="00214A74" w:rsidRPr="00F258B7" w:rsidRDefault="00214A74" w:rsidP="00214A74">
      <w:pPr>
        <w:pStyle w:val="Textoindependiente2"/>
        <w:spacing w:after="0" w:line="276" w:lineRule="auto"/>
        <w:ind w:left="567"/>
        <w:jc w:val="both"/>
        <w:rPr>
          <w:b/>
        </w:rPr>
      </w:pPr>
    </w:p>
    <w:p w:rsidR="00214A74" w:rsidRPr="0031403F" w:rsidRDefault="00214A74" w:rsidP="00214A74">
      <w:pPr>
        <w:pStyle w:val="Prrafodelista"/>
        <w:numPr>
          <w:ilvl w:val="0"/>
          <w:numId w:val="2"/>
        </w:numPr>
        <w:kinsoku w:val="0"/>
        <w:overflowPunct w:val="0"/>
        <w:jc w:val="both"/>
        <w:textAlignment w:val="baseline"/>
        <w:rPr>
          <w:sz w:val="22"/>
          <w:szCs w:val="22"/>
        </w:rPr>
      </w:pPr>
      <w:r w:rsidRPr="0031403F">
        <w:rPr>
          <w:sz w:val="22"/>
          <w:szCs w:val="22"/>
        </w:rPr>
        <w:t>Por orden de la Sala Constitucional el Consejo de Transporte Público realizó licitación de las rutas San José-Santa Cruz y viceversa por el Rio Tempisque y Santa Cruz-</w:t>
      </w:r>
      <w:proofErr w:type="spellStart"/>
      <w:r w:rsidRPr="0031403F">
        <w:rPr>
          <w:sz w:val="22"/>
          <w:szCs w:val="22"/>
        </w:rPr>
        <w:t>Flamingo</w:t>
      </w:r>
      <w:proofErr w:type="spellEnd"/>
      <w:r w:rsidRPr="0031403F">
        <w:rPr>
          <w:sz w:val="22"/>
          <w:szCs w:val="22"/>
        </w:rPr>
        <w:t xml:space="preserve"> y viceversa.</w:t>
      </w:r>
    </w:p>
    <w:p w:rsidR="00214A74" w:rsidRDefault="00214A74" w:rsidP="00214A74">
      <w:pPr>
        <w:pStyle w:val="Prrafodelista"/>
        <w:numPr>
          <w:ilvl w:val="0"/>
          <w:numId w:val="2"/>
        </w:numPr>
        <w:kinsoku w:val="0"/>
        <w:overflowPunct w:val="0"/>
        <w:jc w:val="both"/>
        <w:textAlignment w:val="baseline"/>
        <w:rPr>
          <w:sz w:val="22"/>
          <w:szCs w:val="22"/>
        </w:rPr>
      </w:pPr>
      <w:r w:rsidRPr="0031403F">
        <w:rPr>
          <w:sz w:val="22"/>
          <w:szCs w:val="22"/>
        </w:rPr>
        <w:t>La Sala estableció</w:t>
      </w:r>
      <w:r>
        <w:rPr>
          <w:sz w:val="22"/>
          <w:szCs w:val="22"/>
        </w:rPr>
        <w:t xml:space="preserve"> que la </w:t>
      </w:r>
      <w:proofErr w:type="gramStart"/>
      <w:r>
        <w:rPr>
          <w:sz w:val="22"/>
          <w:szCs w:val="22"/>
        </w:rPr>
        <w:t>EM..</w:t>
      </w:r>
      <w:proofErr w:type="gramEnd"/>
      <w:r>
        <w:rPr>
          <w:sz w:val="22"/>
          <w:szCs w:val="22"/>
        </w:rPr>
        <w:t xml:space="preserve"> Limitada, es l</w:t>
      </w:r>
      <w:r w:rsidRPr="0031403F">
        <w:rPr>
          <w:sz w:val="22"/>
          <w:szCs w:val="22"/>
        </w:rPr>
        <w:t>a concesionaria del servicio en la ruta Nicoya-San José</w:t>
      </w:r>
      <w:r>
        <w:rPr>
          <w:sz w:val="22"/>
          <w:szCs w:val="22"/>
        </w:rPr>
        <w:t xml:space="preserve"> por l</w:t>
      </w:r>
      <w:r w:rsidRPr="0031403F">
        <w:rPr>
          <w:sz w:val="22"/>
          <w:szCs w:val="22"/>
        </w:rPr>
        <w:t>a</w:t>
      </w:r>
      <w:r>
        <w:rPr>
          <w:sz w:val="22"/>
          <w:szCs w:val="22"/>
        </w:rPr>
        <w:t xml:space="preserve"> carretera interamericana y E... </w:t>
      </w:r>
      <w:r w:rsidRPr="0031403F">
        <w:rPr>
          <w:sz w:val="22"/>
          <w:szCs w:val="22"/>
        </w:rPr>
        <w:t xml:space="preserve"> del servicio Santa Cruz- San José</w:t>
      </w:r>
      <w:r>
        <w:rPr>
          <w:sz w:val="22"/>
          <w:szCs w:val="22"/>
        </w:rPr>
        <w:t xml:space="preserve"> por l</w:t>
      </w:r>
      <w:r w:rsidRPr="0031403F">
        <w:rPr>
          <w:sz w:val="22"/>
          <w:szCs w:val="22"/>
        </w:rPr>
        <w:t>a carretera interamericana.</w:t>
      </w:r>
    </w:p>
    <w:p w:rsidR="00214A74" w:rsidRDefault="00214A74" w:rsidP="00214A74">
      <w:pPr>
        <w:pStyle w:val="Prrafodelista"/>
        <w:numPr>
          <w:ilvl w:val="0"/>
          <w:numId w:val="2"/>
        </w:numPr>
        <w:kinsoku w:val="0"/>
        <w:overflowPunct w:val="0"/>
        <w:jc w:val="both"/>
        <w:textAlignment w:val="baseline"/>
        <w:rPr>
          <w:sz w:val="22"/>
          <w:szCs w:val="22"/>
        </w:rPr>
      </w:pPr>
      <w:r w:rsidRPr="0031403F">
        <w:rPr>
          <w:sz w:val="22"/>
          <w:szCs w:val="22"/>
        </w:rPr>
        <w:t>En los restantes servicios que operan por el Puente la Amistad en condición de permisos por el tiempo que se requiera para la adjudicación de las respectivas licitaciones.</w:t>
      </w:r>
    </w:p>
    <w:p w:rsidR="00214A74" w:rsidRDefault="00214A74" w:rsidP="00214A74">
      <w:pPr>
        <w:pStyle w:val="Prrafodelista"/>
        <w:numPr>
          <w:ilvl w:val="0"/>
          <w:numId w:val="2"/>
        </w:numPr>
        <w:kinsoku w:val="0"/>
        <w:overflowPunct w:val="0"/>
        <w:jc w:val="both"/>
        <w:textAlignment w:val="baseline"/>
        <w:rPr>
          <w:sz w:val="22"/>
          <w:szCs w:val="22"/>
        </w:rPr>
      </w:pPr>
      <w:r w:rsidRPr="0031403F">
        <w:rPr>
          <w:sz w:val="22"/>
          <w:szCs w:val="22"/>
        </w:rPr>
        <w:t>La ARESEP se negó a refrendar el contrato de concesión de la ruta 502 por lo que se instauro un proceso contencioso administrativ</w:t>
      </w:r>
      <w:r>
        <w:rPr>
          <w:sz w:val="22"/>
          <w:szCs w:val="22"/>
        </w:rPr>
        <w:t>o</w:t>
      </w:r>
      <w:r w:rsidRPr="0031403F">
        <w:rPr>
          <w:sz w:val="22"/>
          <w:szCs w:val="22"/>
        </w:rPr>
        <w:t xml:space="preserve"> contra esta entid</w:t>
      </w:r>
      <w:r>
        <w:rPr>
          <w:sz w:val="22"/>
          <w:szCs w:val="22"/>
        </w:rPr>
        <w:t>ad. Los Jueces concluyeron que l</w:t>
      </w:r>
      <w:r w:rsidRPr="0031403F">
        <w:rPr>
          <w:sz w:val="22"/>
          <w:szCs w:val="22"/>
        </w:rPr>
        <w:t xml:space="preserve">a Sala Constitucional si determine expresamente que las licitaciones correspondientes a las líneas que opera </w:t>
      </w:r>
      <w:r>
        <w:rPr>
          <w:sz w:val="22"/>
          <w:szCs w:val="22"/>
        </w:rPr>
        <w:t>... y ...</w:t>
      </w:r>
      <w:r w:rsidRPr="0031403F">
        <w:rPr>
          <w:sz w:val="22"/>
          <w:szCs w:val="22"/>
        </w:rPr>
        <w:t xml:space="preserve"> debían sacarse a licitación sin estudios técnicos del artículo 4 de la Ley 3503.</w:t>
      </w:r>
    </w:p>
    <w:p w:rsidR="00214A74" w:rsidRDefault="00214A74" w:rsidP="00214A74">
      <w:pPr>
        <w:pStyle w:val="Prrafodelista"/>
        <w:numPr>
          <w:ilvl w:val="0"/>
          <w:numId w:val="2"/>
        </w:numPr>
        <w:kinsoku w:val="0"/>
        <w:overflowPunct w:val="0"/>
        <w:jc w:val="both"/>
        <w:textAlignment w:val="baseline"/>
        <w:rPr>
          <w:sz w:val="22"/>
          <w:szCs w:val="22"/>
        </w:rPr>
      </w:pPr>
      <w:r w:rsidRPr="0031403F">
        <w:rPr>
          <w:sz w:val="22"/>
          <w:szCs w:val="22"/>
        </w:rPr>
        <w:t>La Sala Primera de la Corte Suprema de Justicia en la sentencia Número 001427-F-S1-2012 acogió el Recurso de Casación presentado por ARESEP y determina que los estudios del artículo 4 de la Ley 3503 son fundamentales no solo para la ARESEP sino para que se licite de manera transparente y se ordena anular la sentencia recurrida en cuanto a la no exigencia de los estudios referidos. La Sala Primera dispuso anular las licitaciones 1-2000 y 07-2000 por carecer de estudios técnicos. La Junta Directiva del CTP, emite el acuerdo recurrido con base al fallo de la Sala Primera, el cual es nulo</w:t>
      </w:r>
      <w:r>
        <w:rPr>
          <w:sz w:val="22"/>
          <w:szCs w:val="22"/>
        </w:rPr>
        <w:t xml:space="preserve"> ya que ignora lo resuelto por l</w:t>
      </w:r>
      <w:r w:rsidRPr="0031403F">
        <w:rPr>
          <w:sz w:val="22"/>
          <w:szCs w:val="22"/>
        </w:rPr>
        <w:t>a Sala Constitucional. Pues la Sala Primera mal interpreta el articulo 4 ya que los estudios solo son necesarios cuando se va a licitar una nueva ruta.</w:t>
      </w:r>
    </w:p>
    <w:p w:rsidR="00214A74" w:rsidRPr="0031403F" w:rsidRDefault="00214A74" w:rsidP="00214A74">
      <w:pPr>
        <w:pStyle w:val="Prrafodelista"/>
        <w:numPr>
          <w:ilvl w:val="0"/>
          <w:numId w:val="2"/>
        </w:numPr>
        <w:kinsoku w:val="0"/>
        <w:overflowPunct w:val="0"/>
        <w:jc w:val="both"/>
        <w:textAlignment w:val="baseline"/>
        <w:rPr>
          <w:sz w:val="22"/>
          <w:szCs w:val="22"/>
        </w:rPr>
      </w:pPr>
      <w:r w:rsidRPr="0031403F">
        <w:rPr>
          <w:sz w:val="22"/>
          <w:szCs w:val="22"/>
        </w:rPr>
        <w:t>La Junta opto por obedecer un fallo de la Jurisdicción Ordinaria y desobedecer lo dispuesto por el Tribunal C</w:t>
      </w:r>
      <w:r>
        <w:rPr>
          <w:sz w:val="22"/>
          <w:szCs w:val="22"/>
        </w:rPr>
        <w:t>onstitucional, incorporando en l</w:t>
      </w:r>
      <w:r w:rsidRPr="0031403F">
        <w:rPr>
          <w:sz w:val="22"/>
          <w:szCs w:val="22"/>
        </w:rPr>
        <w:t xml:space="preserve">a Adopción del acto motivos que no son </w:t>
      </w:r>
      <w:r w:rsidRPr="0031403F">
        <w:rPr>
          <w:sz w:val="22"/>
          <w:szCs w:val="22"/>
        </w:rPr>
        <w:lastRenderedPageBreak/>
        <w:t>reales incurriendo incluso en aspectos penales, rechazando su solicitud y ordenando realizar estudios técnicos. (Léanse folios del 27 al 64 del expediente administrativo).</w:t>
      </w:r>
    </w:p>
    <w:p w:rsidR="00214A74" w:rsidRPr="0031403F" w:rsidRDefault="00214A74" w:rsidP="00214A74">
      <w:pPr>
        <w:widowControl w:val="0"/>
        <w:kinsoku w:val="0"/>
        <w:overflowPunct w:val="0"/>
        <w:ind w:left="567"/>
        <w:jc w:val="both"/>
        <w:textAlignment w:val="baseline"/>
        <w:rPr>
          <w:sz w:val="20"/>
          <w:szCs w:val="20"/>
        </w:rPr>
      </w:pPr>
    </w:p>
    <w:p w:rsidR="00214A74" w:rsidRPr="008F243E" w:rsidRDefault="00214A74" w:rsidP="00214A74">
      <w:pPr>
        <w:spacing w:line="276" w:lineRule="auto"/>
        <w:jc w:val="both"/>
        <w:rPr>
          <w:color w:val="000000" w:themeColor="text1"/>
          <w:sz w:val="20"/>
          <w:szCs w:val="20"/>
        </w:rPr>
      </w:pPr>
    </w:p>
    <w:p w:rsidR="00214A74" w:rsidRPr="008F243E" w:rsidRDefault="00214A74" w:rsidP="00214A74">
      <w:pPr>
        <w:spacing w:line="276" w:lineRule="auto"/>
        <w:jc w:val="both"/>
      </w:pPr>
      <w:r w:rsidRPr="008F243E">
        <w:rPr>
          <w:b/>
          <w:bCs/>
          <w:color w:val="000000" w:themeColor="text1"/>
          <w:spacing w:val="1"/>
        </w:rPr>
        <w:t xml:space="preserve">TERCERO: </w:t>
      </w:r>
      <w:r w:rsidRPr="008F243E">
        <w:t>La Junta Directiva del Consejo de Transporte Publico, mediante acuerdo</w:t>
      </w:r>
      <w:r w:rsidRPr="008F243E">
        <w:rPr>
          <w:color w:val="000000" w:themeColor="text1"/>
          <w:spacing w:val="1"/>
        </w:rPr>
        <w:t xml:space="preserve"> </w:t>
      </w:r>
      <w:r w:rsidRPr="008F243E">
        <w:rPr>
          <w:b/>
          <w:bCs/>
          <w:color w:val="000000" w:themeColor="text1"/>
          <w:spacing w:val="1"/>
        </w:rPr>
        <w:t xml:space="preserve">7.9 de la Sesión Ordinaria 19-2015 del 9 de abril de 2015, </w:t>
      </w:r>
      <w:r w:rsidRPr="008F243E">
        <w:t>conoce y avala el informe</w:t>
      </w:r>
      <w:r>
        <w:t xml:space="preserve"> jurídico</w:t>
      </w:r>
      <w:r w:rsidRPr="008F243E">
        <w:t xml:space="preserve"> </w:t>
      </w:r>
      <w:r w:rsidRPr="008F243E">
        <w:rPr>
          <w:b/>
          <w:bCs/>
          <w:color w:val="000000" w:themeColor="text1"/>
          <w:spacing w:val="1"/>
        </w:rPr>
        <w:t>DA</w:t>
      </w:r>
      <w:r>
        <w:rPr>
          <w:b/>
          <w:bCs/>
          <w:color w:val="000000" w:themeColor="text1"/>
          <w:spacing w:val="1"/>
        </w:rPr>
        <w:t>J</w:t>
      </w:r>
      <w:r w:rsidRPr="008F243E">
        <w:rPr>
          <w:b/>
          <w:bCs/>
          <w:color w:val="000000" w:themeColor="text1"/>
          <w:spacing w:val="1"/>
        </w:rPr>
        <w:t xml:space="preserve"> 2015001071 del 31 de marzo de 2015 </w:t>
      </w:r>
      <w:r w:rsidRPr="008F243E">
        <w:t>y rechaza el recurso de revocatoria y la nulidad por extemporáneos. (Léanse folios 1 al 15 del expediente administrativo)</w:t>
      </w:r>
    </w:p>
    <w:p w:rsidR="00214A74" w:rsidRPr="008F243E" w:rsidRDefault="00214A74" w:rsidP="00214A74">
      <w:pPr>
        <w:rPr>
          <w:b/>
          <w:color w:val="000000" w:themeColor="text1"/>
        </w:rPr>
      </w:pPr>
    </w:p>
    <w:p w:rsidR="00214A74" w:rsidRPr="008F243E" w:rsidRDefault="00214A74" w:rsidP="00214A74">
      <w:pPr>
        <w:rPr>
          <w:b/>
          <w:color w:val="000000" w:themeColor="text1"/>
        </w:rPr>
      </w:pPr>
      <w:r w:rsidRPr="008F243E">
        <w:rPr>
          <w:b/>
          <w:color w:val="000000" w:themeColor="text1"/>
        </w:rPr>
        <w:t>REDACTA EL JUEZ PORTUGUEZ MÉNDEZ,</w:t>
      </w:r>
    </w:p>
    <w:p w:rsidR="00214A74" w:rsidRPr="008F243E" w:rsidRDefault="00214A74" w:rsidP="00214A74">
      <w:pPr>
        <w:jc w:val="center"/>
        <w:rPr>
          <w:b/>
          <w:color w:val="000000" w:themeColor="text1"/>
        </w:rPr>
      </w:pPr>
    </w:p>
    <w:p w:rsidR="00214A74" w:rsidRPr="008F243E" w:rsidRDefault="00214A74" w:rsidP="00214A74">
      <w:pPr>
        <w:jc w:val="center"/>
        <w:rPr>
          <w:b/>
          <w:color w:val="000000" w:themeColor="text1"/>
        </w:rPr>
      </w:pPr>
    </w:p>
    <w:p w:rsidR="00214A74" w:rsidRPr="008F243E" w:rsidRDefault="00214A74" w:rsidP="00214A74">
      <w:pPr>
        <w:jc w:val="center"/>
        <w:rPr>
          <w:b/>
          <w:color w:val="000000" w:themeColor="text1"/>
        </w:rPr>
      </w:pPr>
      <w:r w:rsidRPr="008F243E">
        <w:rPr>
          <w:b/>
          <w:color w:val="000000" w:themeColor="text1"/>
        </w:rPr>
        <w:t xml:space="preserve">CONSIDERANDO </w:t>
      </w:r>
    </w:p>
    <w:p w:rsidR="00214A74" w:rsidRPr="008F243E" w:rsidRDefault="00214A74" w:rsidP="00214A74">
      <w:pPr>
        <w:jc w:val="center"/>
        <w:rPr>
          <w:b/>
          <w:color w:val="000000" w:themeColor="text1"/>
        </w:rPr>
      </w:pPr>
    </w:p>
    <w:p w:rsidR="00214A74" w:rsidRPr="008F243E" w:rsidRDefault="00214A74" w:rsidP="00214A74">
      <w:pPr>
        <w:widowControl w:val="0"/>
        <w:numPr>
          <w:ilvl w:val="0"/>
          <w:numId w:val="3"/>
        </w:numPr>
        <w:tabs>
          <w:tab w:val="right" w:pos="9000"/>
        </w:tabs>
        <w:kinsoku w:val="0"/>
        <w:overflowPunct w:val="0"/>
        <w:spacing w:line="276" w:lineRule="auto"/>
        <w:ind w:left="0"/>
        <w:jc w:val="both"/>
        <w:textAlignment w:val="baseline"/>
      </w:pPr>
      <w:r w:rsidRPr="008F243E">
        <w:rPr>
          <w:b/>
          <w:bCs/>
          <w:color w:val="000000" w:themeColor="text1"/>
        </w:rPr>
        <w:t xml:space="preserve">SOBRE LA COMPETENCIA: </w:t>
      </w:r>
      <w:r w:rsidRPr="008F243E">
        <w:t>El Tribunal Administrativo de Transporte es</w:t>
      </w:r>
      <w:r w:rsidRPr="008F243E">
        <w:br/>
        <w:t>el Órgano competente para conocer y resolver el presente</w:t>
      </w:r>
      <w:r w:rsidRPr="008F243E">
        <w:rPr>
          <w:color w:val="000000" w:themeColor="text1"/>
        </w:rPr>
        <w:t xml:space="preserve"> </w:t>
      </w:r>
      <w:r w:rsidRPr="008F243E">
        <w:rPr>
          <w:b/>
          <w:bCs/>
          <w:color w:val="000000" w:themeColor="text1"/>
        </w:rPr>
        <w:t xml:space="preserve">RECURSO DE APELACIÓN </w:t>
      </w:r>
      <w:r w:rsidRPr="008F243E">
        <w:t>de conformidad con el Articulo 22 de la Ley Reguladora del Servicio Público de Transporte Remunerado de Personas en Vehículos en la Modalidad de Taxi, No. 7969 de 22 de diciembre de 1999; así como de la incidencia de nulidad presentada concomitantemente, de conformidad con lo dispuesto en la Ley General de la Administración.</w:t>
      </w:r>
    </w:p>
    <w:p w:rsidR="00214A74" w:rsidRPr="008F243E" w:rsidRDefault="00214A74" w:rsidP="00214A74">
      <w:pPr>
        <w:widowControl w:val="0"/>
        <w:tabs>
          <w:tab w:val="right" w:pos="9000"/>
        </w:tabs>
        <w:kinsoku w:val="0"/>
        <w:overflowPunct w:val="0"/>
        <w:spacing w:line="276" w:lineRule="auto"/>
        <w:jc w:val="both"/>
        <w:textAlignment w:val="baseline"/>
        <w:rPr>
          <w:color w:val="000000" w:themeColor="text1"/>
        </w:rPr>
      </w:pPr>
    </w:p>
    <w:p w:rsidR="00214A74" w:rsidRPr="008F243E" w:rsidRDefault="00214A74" w:rsidP="00214A74">
      <w:pPr>
        <w:widowControl w:val="0"/>
        <w:numPr>
          <w:ilvl w:val="0"/>
          <w:numId w:val="4"/>
        </w:numPr>
        <w:kinsoku w:val="0"/>
        <w:overflowPunct w:val="0"/>
        <w:spacing w:line="276" w:lineRule="auto"/>
        <w:ind w:left="0"/>
        <w:jc w:val="both"/>
        <w:textAlignment w:val="baseline"/>
      </w:pPr>
      <w:r w:rsidRPr="008F243E">
        <w:rPr>
          <w:b/>
          <w:bCs/>
          <w:color w:val="000000" w:themeColor="text1"/>
          <w:spacing w:val="3"/>
        </w:rPr>
        <w:t xml:space="preserve">SOBRE LA ADMISIBILIDAD DEL RECURSO: </w:t>
      </w:r>
      <w:r w:rsidRPr="008F243E">
        <w:rPr>
          <w:b/>
          <w:bCs/>
          <w:color w:val="000000" w:themeColor="text1"/>
          <w:spacing w:val="3"/>
          <w:u w:val="single"/>
        </w:rPr>
        <w:t>En cuanto a la Legitimación:</w:t>
      </w:r>
      <w:r w:rsidRPr="008F243E">
        <w:rPr>
          <w:color w:val="000000" w:themeColor="text1"/>
          <w:spacing w:val="3"/>
        </w:rPr>
        <w:t xml:space="preserve"> </w:t>
      </w:r>
      <w:r w:rsidRPr="008F243E">
        <w:t xml:space="preserve">La Junta Directiva del Consejo de Transporte Publico, mediante el </w:t>
      </w:r>
      <w:r w:rsidRPr="008F243E">
        <w:rPr>
          <w:b/>
          <w:bCs/>
          <w:color w:val="000000" w:themeColor="text1"/>
          <w:spacing w:val="3"/>
        </w:rPr>
        <w:t>Artículo 1.2 de la Sesión Ordinaria 54-2014 del 25 de setiembre de 2014</w:t>
      </w:r>
      <w:r w:rsidRPr="008F243E">
        <w:t>, dispuso rechazar la solicitud de renovación de concesión de la ruta 1502, al tenor de lo dispuesto en la sentencia 1427-de las catorce horas del 23 de octubre del 2012, de la Sala Primera, por lo que la recurrente cuenta con la Legitimación suficiente para actuar en el presente asunto.</w:t>
      </w:r>
      <w:r w:rsidRPr="008F243E">
        <w:rPr>
          <w:color w:val="000000" w:themeColor="text1"/>
          <w:spacing w:val="3"/>
        </w:rPr>
        <w:t xml:space="preserve"> </w:t>
      </w:r>
      <w:r w:rsidRPr="008F243E">
        <w:rPr>
          <w:b/>
          <w:bCs/>
          <w:color w:val="000000" w:themeColor="text1"/>
          <w:spacing w:val="3"/>
          <w:u w:val="single"/>
        </w:rPr>
        <w:t>En cuanto al plazo:</w:t>
      </w:r>
      <w:r w:rsidRPr="008F243E">
        <w:rPr>
          <w:color w:val="000000" w:themeColor="text1"/>
          <w:spacing w:val="3"/>
        </w:rPr>
        <w:t xml:space="preserve"> </w:t>
      </w:r>
      <w:r w:rsidRPr="008F243E">
        <w:t xml:space="preserve">Conforme al estudio efectuado, el RECURSO DE APELACIÓN fue presentado fuera del plazo legal establecido para tal fin, en los términos del artículo 11 de la Ley Reguladora del Servicio Público de Transporte Remunerado de Personas en Vehículos en la Modalidad de Taxi, Ley N. 7969, del 28 de enero del 2000, toda vez que a la fecha de presentación del escrito de apelación, sea esta </w:t>
      </w:r>
      <w:r w:rsidRPr="008F243E">
        <w:rPr>
          <w:b/>
          <w:color w:val="000000" w:themeColor="text1"/>
          <w:spacing w:val="3"/>
        </w:rPr>
        <w:t>18 de noviembre de 2014</w:t>
      </w:r>
      <w:r w:rsidRPr="008F243E">
        <w:rPr>
          <w:color w:val="000000" w:themeColor="text1"/>
          <w:spacing w:val="3"/>
        </w:rPr>
        <w:t>,</w:t>
      </w:r>
      <w:r w:rsidRPr="008F243E">
        <w:rPr>
          <w:color w:val="000000" w:themeColor="text1"/>
        </w:rPr>
        <w:t xml:space="preserve"> </w:t>
      </w:r>
      <w:r w:rsidRPr="008F243E">
        <w:t>ya había transcurrido el plazo establecido por ley para recurrir dicho acto. (Léanse los folios 25 y 27 del expediente administrativo TAT-225-15.</w:t>
      </w:r>
    </w:p>
    <w:p w:rsidR="00214A74" w:rsidRPr="008F243E" w:rsidRDefault="00214A74" w:rsidP="00214A74">
      <w:pPr>
        <w:kinsoku w:val="0"/>
        <w:overflowPunct w:val="0"/>
        <w:spacing w:line="276" w:lineRule="auto"/>
        <w:textAlignment w:val="baseline"/>
      </w:pPr>
      <w:r w:rsidRPr="008F243E">
        <w:t>En este sentido, el artículo 11 de la Ley N. 7969, establece en lo que interesa:</w:t>
      </w:r>
    </w:p>
    <w:p w:rsidR="00214A74" w:rsidRPr="008F243E" w:rsidRDefault="00214A74" w:rsidP="00214A74">
      <w:pPr>
        <w:kinsoku w:val="0"/>
        <w:overflowPunct w:val="0"/>
        <w:spacing w:line="276" w:lineRule="auto"/>
        <w:textAlignment w:val="baseline"/>
        <w:rPr>
          <w:color w:val="000000" w:themeColor="text1"/>
          <w:spacing w:val="-9"/>
        </w:rPr>
      </w:pPr>
    </w:p>
    <w:p w:rsidR="00214A74" w:rsidRPr="008F243E" w:rsidRDefault="00214A74" w:rsidP="00214A74">
      <w:pPr>
        <w:kinsoku w:val="0"/>
        <w:overflowPunct w:val="0"/>
        <w:ind w:left="851" w:right="851"/>
        <w:jc w:val="both"/>
        <w:textAlignment w:val="baseline"/>
        <w:rPr>
          <w:color w:val="000000" w:themeColor="text1"/>
          <w:spacing w:val="-9"/>
          <w:sz w:val="20"/>
          <w:szCs w:val="20"/>
        </w:rPr>
      </w:pPr>
      <w:r w:rsidRPr="008F243E">
        <w:rPr>
          <w:iCs/>
          <w:color w:val="000000" w:themeColor="text1"/>
          <w:sz w:val="20"/>
          <w:szCs w:val="20"/>
        </w:rPr>
        <w:t>"...Contra las resoluciones del Consejo cabra recurso de revocatoria ante el órgano que dicta el acto, con apelación en subsidio para ante el Tribunal. Ambos recursos deberán interponerse dentro del plazo de cinco días hábiles, contados a partir de la notificación".</w:t>
      </w:r>
    </w:p>
    <w:p w:rsidR="00214A74" w:rsidRPr="008F243E" w:rsidRDefault="00214A74" w:rsidP="00214A74">
      <w:pPr>
        <w:kinsoku w:val="0"/>
        <w:overflowPunct w:val="0"/>
        <w:spacing w:line="276" w:lineRule="auto"/>
        <w:jc w:val="both"/>
        <w:textAlignment w:val="baseline"/>
        <w:rPr>
          <w:color w:val="000000" w:themeColor="text1"/>
          <w:spacing w:val="-11"/>
        </w:rPr>
      </w:pPr>
    </w:p>
    <w:p w:rsidR="00214A74" w:rsidRPr="00B75240" w:rsidRDefault="00214A74" w:rsidP="00214A74">
      <w:pPr>
        <w:kinsoku w:val="0"/>
        <w:overflowPunct w:val="0"/>
        <w:spacing w:line="276" w:lineRule="auto"/>
        <w:jc w:val="both"/>
        <w:textAlignment w:val="baseline"/>
        <w:rPr>
          <w:color w:val="000000" w:themeColor="text1"/>
        </w:rPr>
      </w:pPr>
      <w:r w:rsidRPr="008F243E">
        <w:t xml:space="preserve">De conformidad con la norma transcrita anteriormente, se </w:t>
      </w:r>
      <w:r w:rsidRPr="00B75240">
        <w:rPr>
          <w:color w:val="000000" w:themeColor="text1"/>
        </w:rPr>
        <w:t xml:space="preserve">determina que el </w:t>
      </w:r>
      <w:r w:rsidRPr="00B75240">
        <w:rPr>
          <w:b/>
          <w:bCs/>
          <w:color w:val="000000" w:themeColor="text1"/>
          <w:spacing w:val="-11"/>
        </w:rPr>
        <w:t>RECURSO DE APELACIÓN</w:t>
      </w:r>
      <w:r w:rsidRPr="00B75240">
        <w:rPr>
          <w:color w:val="000000" w:themeColor="text1"/>
        </w:rPr>
        <w:t xml:space="preserve">, ha sido presentado de manera extemporánea, por cuanto el acuerdo impugnado fue debidamente notificado en fecha 3 de octubre de 2014, según consta a folio </w:t>
      </w:r>
      <w:r w:rsidRPr="00B75240">
        <w:rPr>
          <w:color w:val="000000" w:themeColor="text1"/>
        </w:rPr>
        <w:lastRenderedPageBreak/>
        <w:t>19 del expediente administrativo y el Recurso de Apelación se presentó hasta un mes y quince días después, por lo que fue presentado de manera extemporánea.</w:t>
      </w:r>
    </w:p>
    <w:p w:rsidR="00214A74" w:rsidRPr="00B75240" w:rsidRDefault="00214A74" w:rsidP="00214A74">
      <w:pPr>
        <w:kinsoku w:val="0"/>
        <w:overflowPunct w:val="0"/>
        <w:spacing w:line="276" w:lineRule="auto"/>
        <w:textAlignment w:val="baseline"/>
        <w:rPr>
          <w:b/>
          <w:bCs/>
          <w:color w:val="000000" w:themeColor="text1"/>
          <w:spacing w:val="-1"/>
        </w:rPr>
      </w:pPr>
    </w:p>
    <w:p w:rsidR="00214A74" w:rsidRPr="00B75240" w:rsidRDefault="00214A74" w:rsidP="00214A74">
      <w:pPr>
        <w:kinsoku w:val="0"/>
        <w:overflowPunct w:val="0"/>
        <w:spacing w:line="276" w:lineRule="auto"/>
        <w:textAlignment w:val="baseline"/>
        <w:rPr>
          <w:b/>
          <w:bCs/>
          <w:color w:val="000000" w:themeColor="text1"/>
          <w:spacing w:val="-1"/>
        </w:rPr>
      </w:pPr>
      <w:r w:rsidRPr="00B75240">
        <w:rPr>
          <w:b/>
          <w:bCs/>
          <w:color w:val="000000" w:themeColor="text1"/>
          <w:spacing w:val="-1"/>
        </w:rPr>
        <w:t>En cuanto a la nulidad invocada:</w:t>
      </w:r>
    </w:p>
    <w:p w:rsidR="00214A74" w:rsidRPr="00B75240" w:rsidRDefault="00214A74" w:rsidP="00214A74">
      <w:pPr>
        <w:kinsoku w:val="0"/>
        <w:overflowPunct w:val="0"/>
        <w:spacing w:line="276" w:lineRule="auto"/>
        <w:jc w:val="both"/>
        <w:textAlignment w:val="baseline"/>
        <w:rPr>
          <w:color w:val="000000" w:themeColor="text1"/>
          <w:spacing w:val="-10"/>
        </w:rPr>
      </w:pPr>
    </w:p>
    <w:p w:rsidR="00214A74" w:rsidRPr="00B75240" w:rsidRDefault="00214A74" w:rsidP="00214A74">
      <w:pPr>
        <w:kinsoku w:val="0"/>
        <w:overflowPunct w:val="0"/>
        <w:spacing w:line="276" w:lineRule="auto"/>
        <w:jc w:val="both"/>
        <w:textAlignment w:val="baseline"/>
        <w:rPr>
          <w:color w:val="000000" w:themeColor="text1"/>
        </w:rPr>
      </w:pPr>
      <w:r w:rsidRPr="00B75240">
        <w:rPr>
          <w:color w:val="000000" w:themeColor="text1"/>
        </w:rPr>
        <w:t>Ahora bien, dado que la recurrente presenta Nulidad concomitante, revisado el acuerdo impugnado, no encuentra este Tribunal vicio alguno en la conformación del acto, que conlleve la nulidad del mismo.</w:t>
      </w:r>
    </w:p>
    <w:p w:rsidR="00214A74" w:rsidRPr="00B75240" w:rsidRDefault="00214A74" w:rsidP="00214A74">
      <w:pPr>
        <w:kinsoku w:val="0"/>
        <w:overflowPunct w:val="0"/>
        <w:spacing w:line="276" w:lineRule="auto"/>
        <w:jc w:val="both"/>
        <w:textAlignment w:val="baseline"/>
        <w:rPr>
          <w:color w:val="000000" w:themeColor="text1"/>
        </w:rPr>
      </w:pPr>
    </w:p>
    <w:p w:rsidR="00214A74" w:rsidRPr="00B75240" w:rsidRDefault="00214A74" w:rsidP="00214A74">
      <w:pPr>
        <w:kinsoku w:val="0"/>
        <w:overflowPunct w:val="0"/>
        <w:spacing w:line="276" w:lineRule="auto"/>
        <w:jc w:val="both"/>
        <w:textAlignment w:val="baseline"/>
        <w:rPr>
          <w:color w:val="000000" w:themeColor="text1"/>
        </w:rPr>
      </w:pPr>
      <w:r w:rsidRPr="00B75240">
        <w:rPr>
          <w:color w:val="000000" w:themeColor="text1"/>
        </w:rPr>
        <w:t xml:space="preserve">El acto administrativo plasmado mediante el </w:t>
      </w:r>
      <w:r w:rsidRPr="00B75240">
        <w:rPr>
          <w:b/>
          <w:bCs/>
          <w:color w:val="000000" w:themeColor="text1"/>
          <w:spacing w:val="-2"/>
        </w:rPr>
        <w:t xml:space="preserve">Artículo 1.2 de la Sesión Ordinaria 54-2014 del 25 de setiembre de 2014, </w:t>
      </w:r>
      <w:r w:rsidRPr="00B75240">
        <w:rPr>
          <w:color w:val="000000" w:themeColor="text1"/>
        </w:rPr>
        <w:t>cuenta con todos los elementos conformadores del acto administrativo y no existen vicios en el motivo y contenido como lo apunta la recurrente ya que su adopción se sustentó en lo determinado por la Sala Primera de la Corte Suprema de Justicia, máxim</w:t>
      </w:r>
      <w:r>
        <w:rPr>
          <w:color w:val="000000" w:themeColor="text1"/>
        </w:rPr>
        <w:t>o</w:t>
      </w:r>
      <w:r w:rsidRPr="00B75240">
        <w:rPr>
          <w:color w:val="000000" w:themeColor="text1"/>
        </w:rPr>
        <w:t xml:space="preserve"> Tribunal de la República y especializado en la materia Administrativa, estando la Administración subordinada a sus fallos.</w:t>
      </w:r>
    </w:p>
    <w:p w:rsidR="00214A74" w:rsidRPr="008F243E" w:rsidRDefault="00214A74" w:rsidP="00214A74">
      <w:pPr>
        <w:kinsoku w:val="0"/>
        <w:overflowPunct w:val="0"/>
        <w:spacing w:line="276" w:lineRule="auto"/>
        <w:jc w:val="both"/>
        <w:textAlignment w:val="baseline"/>
      </w:pPr>
    </w:p>
    <w:p w:rsidR="00214A74" w:rsidRPr="00B75240" w:rsidRDefault="00214A74" w:rsidP="00214A74">
      <w:pPr>
        <w:kinsoku w:val="0"/>
        <w:overflowPunct w:val="0"/>
        <w:spacing w:line="276" w:lineRule="auto"/>
        <w:jc w:val="both"/>
        <w:textAlignment w:val="baseline"/>
        <w:rPr>
          <w:color w:val="000000" w:themeColor="text1"/>
        </w:rPr>
      </w:pPr>
      <w:r w:rsidRPr="00B75240">
        <w:rPr>
          <w:color w:val="000000" w:themeColor="text1"/>
        </w:rPr>
        <w:t xml:space="preserve">Así las cosas, debe rechazarse el Recurso de Apelación y la Nulidad presentadas por la </w:t>
      </w:r>
      <w:proofErr w:type="gramStart"/>
      <w:r>
        <w:rPr>
          <w:b/>
          <w:bCs/>
          <w:color w:val="000000" w:themeColor="text1"/>
        </w:rPr>
        <w:t>EM..</w:t>
      </w:r>
      <w:proofErr w:type="gramEnd"/>
      <w:r w:rsidRPr="00B75240">
        <w:rPr>
          <w:b/>
          <w:bCs/>
          <w:color w:val="000000" w:themeColor="text1"/>
        </w:rPr>
        <w:t xml:space="preserve"> LIMITADA, </w:t>
      </w:r>
      <w:r w:rsidRPr="00B75240">
        <w:rPr>
          <w:color w:val="000000" w:themeColor="text1"/>
        </w:rPr>
        <w:t>ya que se presentaron extemporáneamente.</w:t>
      </w:r>
    </w:p>
    <w:p w:rsidR="00214A74" w:rsidRPr="00B75240" w:rsidRDefault="00214A74" w:rsidP="00214A74">
      <w:pPr>
        <w:kinsoku w:val="0"/>
        <w:overflowPunct w:val="0"/>
        <w:spacing w:line="276" w:lineRule="auto"/>
        <w:jc w:val="center"/>
        <w:textAlignment w:val="baseline"/>
        <w:rPr>
          <w:b/>
          <w:bCs/>
          <w:color w:val="000000" w:themeColor="text1"/>
          <w:spacing w:val="-3"/>
        </w:rPr>
      </w:pPr>
    </w:p>
    <w:p w:rsidR="00214A74" w:rsidRPr="00B75240" w:rsidRDefault="00214A74" w:rsidP="00214A74">
      <w:pPr>
        <w:kinsoku w:val="0"/>
        <w:overflowPunct w:val="0"/>
        <w:spacing w:line="276" w:lineRule="auto"/>
        <w:jc w:val="center"/>
        <w:textAlignment w:val="baseline"/>
        <w:rPr>
          <w:b/>
          <w:bCs/>
          <w:color w:val="000000" w:themeColor="text1"/>
          <w:spacing w:val="-3"/>
        </w:rPr>
      </w:pPr>
    </w:p>
    <w:p w:rsidR="00214A74" w:rsidRPr="00B75240" w:rsidRDefault="00214A74" w:rsidP="00214A74">
      <w:pPr>
        <w:kinsoku w:val="0"/>
        <w:overflowPunct w:val="0"/>
        <w:spacing w:line="276" w:lineRule="auto"/>
        <w:jc w:val="center"/>
        <w:textAlignment w:val="baseline"/>
        <w:rPr>
          <w:b/>
          <w:bCs/>
          <w:color w:val="000000" w:themeColor="text1"/>
          <w:spacing w:val="-3"/>
        </w:rPr>
      </w:pPr>
      <w:r w:rsidRPr="00B75240">
        <w:rPr>
          <w:b/>
          <w:bCs/>
          <w:color w:val="000000" w:themeColor="text1"/>
          <w:spacing w:val="-3"/>
        </w:rPr>
        <w:t>POR TANTO</w:t>
      </w:r>
    </w:p>
    <w:p w:rsidR="00214A74" w:rsidRPr="00B75240" w:rsidRDefault="00214A74" w:rsidP="00214A74">
      <w:pPr>
        <w:kinsoku w:val="0"/>
        <w:overflowPunct w:val="0"/>
        <w:spacing w:line="276" w:lineRule="auto"/>
        <w:jc w:val="center"/>
        <w:textAlignment w:val="baseline"/>
        <w:rPr>
          <w:b/>
          <w:bCs/>
          <w:color w:val="000000" w:themeColor="text1"/>
          <w:spacing w:val="-3"/>
        </w:rPr>
      </w:pPr>
    </w:p>
    <w:p w:rsidR="00214A74" w:rsidRPr="00B75240" w:rsidRDefault="00214A74" w:rsidP="00214A74">
      <w:pPr>
        <w:kinsoku w:val="0"/>
        <w:overflowPunct w:val="0"/>
        <w:spacing w:line="276" w:lineRule="auto"/>
        <w:jc w:val="center"/>
        <w:textAlignment w:val="baseline"/>
        <w:rPr>
          <w:b/>
          <w:bCs/>
          <w:color w:val="000000" w:themeColor="text1"/>
          <w:spacing w:val="-3"/>
        </w:rPr>
      </w:pPr>
    </w:p>
    <w:p w:rsidR="00214A74" w:rsidRPr="00B75240" w:rsidRDefault="00214A74" w:rsidP="00214A74">
      <w:pPr>
        <w:kinsoku w:val="0"/>
        <w:overflowPunct w:val="0"/>
        <w:spacing w:line="276" w:lineRule="auto"/>
        <w:jc w:val="both"/>
        <w:textAlignment w:val="baseline"/>
        <w:rPr>
          <w:bCs/>
          <w:color w:val="000000" w:themeColor="text1"/>
        </w:rPr>
      </w:pPr>
      <w:r w:rsidRPr="00B75240">
        <w:rPr>
          <w:b/>
          <w:bCs/>
          <w:color w:val="000000" w:themeColor="text1"/>
        </w:rPr>
        <w:t xml:space="preserve">I.- </w:t>
      </w:r>
      <w:r w:rsidRPr="00B75240">
        <w:rPr>
          <w:color w:val="000000" w:themeColor="text1"/>
        </w:rPr>
        <w:t xml:space="preserve">Se rechaza por </w:t>
      </w:r>
      <w:r w:rsidRPr="00B75240">
        <w:rPr>
          <w:b/>
          <w:bCs/>
          <w:smallCaps/>
          <w:color w:val="000000" w:themeColor="text1"/>
        </w:rPr>
        <w:t>Extemporáneo</w:t>
      </w:r>
      <w:r w:rsidRPr="00B75240">
        <w:rPr>
          <w:b/>
          <w:bCs/>
          <w:color w:val="000000" w:themeColor="text1"/>
        </w:rPr>
        <w:t xml:space="preserve"> </w:t>
      </w:r>
      <w:r w:rsidRPr="00B75240">
        <w:rPr>
          <w:color w:val="000000" w:themeColor="text1"/>
        </w:rPr>
        <w:t xml:space="preserve">el presente </w:t>
      </w:r>
      <w:r w:rsidRPr="00B75240">
        <w:rPr>
          <w:b/>
          <w:bCs/>
          <w:smallCaps/>
          <w:color w:val="000000" w:themeColor="text1"/>
        </w:rPr>
        <w:t>Recurso de apelación e incidente de nulidad</w:t>
      </w:r>
      <w:r w:rsidRPr="00B75240">
        <w:rPr>
          <w:b/>
          <w:bCs/>
          <w:color w:val="000000" w:themeColor="text1"/>
        </w:rPr>
        <w:t xml:space="preserve">, </w:t>
      </w:r>
      <w:r w:rsidRPr="00B75240">
        <w:rPr>
          <w:color w:val="000000" w:themeColor="text1"/>
        </w:rPr>
        <w:t xml:space="preserve">interpuesto por </w:t>
      </w:r>
      <w:r w:rsidRPr="00B75240">
        <w:rPr>
          <w:bCs/>
          <w:color w:val="000000" w:themeColor="text1"/>
        </w:rPr>
        <w:t>la</w:t>
      </w:r>
      <w:r w:rsidRPr="00B75240">
        <w:rPr>
          <w:b/>
          <w:bCs/>
          <w:color w:val="000000" w:themeColor="text1"/>
        </w:rPr>
        <w:t xml:space="preserve"> </w:t>
      </w:r>
      <w:proofErr w:type="gramStart"/>
      <w:r>
        <w:rPr>
          <w:b/>
          <w:bCs/>
          <w:smallCaps/>
          <w:color w:val="000000" w:themeColor="text1"/>
        </w:rPr>
        <w:t>EM..</w:t>
      </w:r>
      <w:proofErr w:type="gramEnd"/>
      <w:r w:rsidRPr="00B75240">
        <w:rPr>
          <w:b/>
          <w:bCs/>
          <w:smallCaps/>
          <w:color w:val="000000" w:themeColor="text1"/>
        </w:rPr>
        <w:t xml:space="preserve"> Limitada</w:t>
      </w:r>
      <w:r w:rsidRPr="00B75240">
        <w:rPr>
          <w:bCs/>
          <w:smallCaps/>
          <w:color w:val="000000" w:themeColor="text1"/>
        </w:rPr>
        <w:t>.</w:t>
      </w:r>
      <w:r w:rsidRPr="00B75240">
        <w:rPr>
          <w:bCs/>
          <w:color w:val="000000" w:themeColor="text1"/>
        </w:rPr>
        <w:t xml:space="preserve">, cedula jurídica número </w:t>
      </w:r>
      <w:r>
        <w:rPr>
          <w:bCs/>
          <w:color w:val="000000" w:themeColor="text1"/>
        </w:rPr>
        <w:t>...</w:t>
      </w:r>
      <w:r w:rsidRPr="00B75240">
        <w:rPr>
          <w:bCs/>
          <w:color w:val="000000" w:themeColor="text1"/>
        </w:rPr>
        <w:t xml:space="preserve">, presentado </w:t>
      </w:r>
      <w:r w:rsidRPr="00B75240">
        <w:rPr>
          <w:color w:val="000000" w:themeColor="text1"/>
        </w:rPr>
        <w:t xml:space="preserve">por medio de sus apoderados generalísimos sin límite de suma, señores </w:t>
      </w:r>
      <w:r>
        <w:rPr>
          <w:bCs/>
          <w:color w:val="000000" w:themeColor="text1"/>
        </w:rPr>
        <w:t>GC</w:t>
      </w:r>
      <w:r w:rsidRPr="00B75240">
        <w:rPr>
          <w:bCs/>
          <w:color w:val="000000" w:themeColor="text1"/>
        </w:rPr>
        <w:t xml:space="preserve"> cedula de identidad número</w:t>
      </w:r>
      <w:proofErr w:type="gramStart"/>
      <w:r w:rsidRPr="00B75240">
        <w:rPr>
          <w:bCs/>
          <w:color w:val="000000" w:themeColor="text1"/>
        </w:rPr>
        <w:t xml:space="preserve"> </w:t>
      </w:r>
      <w:r>
        <w:rPr>
          <w:bCs/>
          <w:color w:val="000000" w:themeColor="text1"/>
        </w:rPr>
        <w:t>..</w:t>
      </w:r>
      <w:proofErr w:type="gramEnd"/>
      <w:r w:rsidRPr="00B75240">
        <w:rPr>
          <w:bCs/>
          <w:color w:val="000000" w:themeColor="text1"/>
        </w:rPr>
        <w:t xml:space="preserve"> y </w:t>
      </w:r>
      <w:r>
        <w:rPr>
          <w:bCs/>
          <w:color w:val="000000" w:themeColor="text1"/>
        </w:rPr>
        <w:t>FH</w:t>
      </w:r>
      <w:r w:rsidRPr="00B75240">
        <w:rPr>
          <w:bCs/>
          <w:color w:val="000000" w:themeColor="text1"/>
        </w:rPr>
        <w:t xml:space="preserve"> cedula de identidad número </w:t>
      </w:r>
      <w:r>
        <w:rPr>
          <w:bCs/>
          <w:color w:val="000000" w:themeColor="text1"/>
        </w:rPr>
        <w:t>...</w:t>
      </w:r>
      <w:r w:rsidRPr="00B75240">
        <w:rPr>
          <w:bCs/>
          <w:color w:val="000000" w:themeColor="text1"/>
        </w:rPr>
        <w:t xml:space="preserve">, </w:t>
      </w:r>
      <w:r w:rsidRPr="00B75240">
        <w:rPr>
          <w:color w:val="000000" w:themeColor="text1"/>
        </w:rPr>
        <w:t xml:space="preserve">contra el </w:t>
      </w:r>
      <w:r w:rsidRPr="00B75240">
        <w:rPr>
          <w:bCs/>
          <w:color w:val="000000" w:themeColor="text1"/>
        </w:rPr>
        <w:t>artículo 1.2 de la Sesión Ordinaria 54-2014 del 25 de setiembre de 2014 celebrado por la Junta Directiva del Consejo de Transporte Público.</w:t>
      </w:r>
    </w:p>
    <w:p w:rsidR="00214A74" w:rsidRPr="00B75240" w:rsidRDefault="00214A74" w:rsidP="00214A74">
      <w:pPr>
        <w:kinsoku w:val="0"/>
        <w:overflowPunct w:val="0"/>
        <w:spacing w:line="276" w:lineRule="auto"/>
        <w:jc w:val="both"/>
        <w:textAlignment w:val="baseline"/>
        <w:rPr>
          <w:bCs/>
          <w:color w:val="000000" w:themeColor="text1"/>
        </w:rPr>
      </w:pPr>
    </w:p>
    <w:p w:rsidR="00214A74" w:rsidRPr="00B75240" w:rsidRDefault="00214A74" w:rsidP="00214A74">
      <w:pPr>
        <w:kinsoku w:val="0"/>
        <w:overflowPunct w:val="0"/>
        <w:spacing w:line="276" w:lineRule="auto"/>
        <w:jc w:val="both"/>
        <w:textAlignment w:val="baseline"/>
        <w:rPr>
          <w:color w:val="000000" w:themeColor="text1"/>
          <w:spacing w:val="2"/>
        </w:rPr>
      </w:pPr>
      <w:r w:rsidRPr="00B75240">
        <w:rPr>
          <w:b/>
          <w:bCs/>
          <w:color w:val="000000" w:themeColor="text1"/>
        </w:rPr>
        <w:t>II.-</w:t>
      </w:r>
      <w:r w:rsidRPr="00B75240">
        <w:rPr>
          <w:color w:val="000000" w:themeColor="text1"/>
        </w:rPr>
        <w:t xml:space="preserve"> De conformidad con el artículo 22, inciso c), de la citada Ley 7969, la presente resolución no tiene ulterior recurso por lo que, se </w:t>
      </w:r>
      <w:r w:rsidRPr="00B75240">
        <w:rPr>
          <w:i/>
          <w:iCs/>
          <w:color w:val="000000" w:themeColor="text1"/>
        </w:rPr>
        <w:t xml:space="preserve">tiene por </w:t>
      </w:r>
      <w:r w:rsidRPr="00B75240">
        <w:rPr>
          <w:i/>
          <w:iCs/>
          <w:color w:val="000000" w:themeColor="text1"/>
          <w:spacing w:val="1"/>
        </w:rPr>
        <w:t xml:space="preserve">agotada la vía administrativa. </w:t>
      </w:r>
      <w:proofErr w:type="gramStart"/>
      <w:r w:rsidRPr="00B75240">
        <w:rPr>
          <w:b/>
          <w:bCs/>
          <w:color w:val="000000" w:themeColor="text1"/>
          <w:spacing w:val="1"/>
        </w:rPr>
        <w:t>NOTIFÍQUESE.</w:t>
      </w:r>
      <w:r w:rsidRPr="00B75240">
        <w:rPr>
          <w:b/>
          <w:bCs/>
          <w:color w:val="000000" w:themeColor="text1"/>
          <w:spacing w:val="1"/>
        </w:rPr>
        <w:noBreakHyphen/>
      </w:r>
      <w:proofErr w:type="gramEnd"/>
      <w:r w:rsidRPr="00B75240">
        <w:rPr>
          <w:b/>
          <w:bCs/>
          <w:color w:val="000000" w:themeColor="text1"/>
          <w:spacing w:val="1"/>
        </w:rPr>
        <w:t xml:space="preserve"> </w:t>
      </w:r>
    </w:p>
    <w:p w:rsidR="00214A74" w:rsidRPr="00B75240" w:rsidRDefault="00214A74" w:rsidP="00214A74">
      <w:pPr>
        <w:spacing w:line="276" w:lineRule="auto"/>
        <w:rPr>
          <w:color w:val="000000" w:themeColor="text1"/>
        </w:rPr>
      </w:pPr>
    </w:p>
    <w:p w:rsidR="00214A74" w:rsidRPr="00B75240" w:rsidRDefault="00214A74" w:rsidP="00214A74">
      <w:pPr>
        <w:pStyle w:val="Ttulo1"/>
        <w:spacing w:before="0" w:after="0" w:line="276" w:lineRule="auto"/>
        <w:jc w:val="center"/>
        <w:rPr>
          <w:rFonts w:ascii="Times New Roman" w:hAnsi="Times New Roman" w:cs="Times New Roman"/>
          <w:b w:val="0"/>
          <w:color w:val="000000" w:themeColor="text1"/>
          <w:sz w:val="24"/>
          <w:szCs w:val="24"/>
        </w:rPr>
      </w:pPr>
      <w:r w:rsidRPr="00B75240">
        <w:rPr>
          <w:rFonts w:ascii="Times New Roman" w:hAnsi="Times New Roman" w:cs="Times New Roman"/>
          <w:b w:val="0"/>
          <w:color w:val="000000" w:themeColor="text1"/>
          <w:sz w:val="24"/>
          <w:szCs w:val="24"/>
        </w:rPr>
        <w:t>Lic. Carlos Miguel Portuguez Méndez</w:t>
      </w:r>
    </w:p>
    <w:p w:rsidR="00214A74" w:rsidRPr="00B75240" w:rsidRDefault="00214A74" w:rsidP="00214A74">
      <w:pPr>
        <w:spacing w:line="276" w:lineRule="auto"/>
        <w:jc w:val="center"/>
        <w:rPr>
          <w:b/>
          <w:color w:val="000000" w:themeColor="text1"/>
        </w:rPr>
      </w:pPr>
      <w:r w:rsidRPr="00B75240">
        <w:rPr>
          <w:b/>
          <w:color w:val="000000" w:themeColor="text1"/>
        </w:rPr>
        <w:t>Presidente</w:t>
      </w:r>
    </w:p>
    <w:p w:rsidR="00214A74" w:rsidRPr="00B75240" w:rsidRDefault="00214A74" w:rsidP="00214A74">
      <w:pPr>
        <w:spacing w:line="276" w:lineRule="auto"/>
        <w:jc w:val="center"/>
        <w:rPr>
          <w:b/>
          <w:color w:val="000000" w:themeColor="text1"/>
        </w:rPr>
      </w:pPr>
    </w:p>
    <w:p w:rsidR="00214A74" w:rsidRPr="0031403F" w:rsidRDefault="00214A74" w:rsidP="00214A74">
      <w:pPr>
        <w:pStyle w:val="Ttulo1"/>
        <w:spacing w:before="0" w:after="0" w:line="276" w:lineRule="auto"/>
        <w:jc w:val="both"/>
        <w:rPr>
          <w:rFonts w:ascii="Times New Roman" w:hAnsi="Times New Roman" w:cs="Times New Roman"/>
          <w:sz w:val="24"/>
          <w:szCs w:val="24"/>
        </w:rPr>
      </w:pPr>
      <w:r w:rsidRPr="0031403F">
        <w:rPr>
          <w:rFonts w:ascii="Times New Roman" w:hAnsi="Times New Roman" w:cs="Times New Roman"/>
          <w:b w:val="0"/>
          <w:sz w:val="24"/>
          <w:szCs w:val="24"/>
        </w:rPr>
        <w:t xml:space="preserve">Licda. Marta Luz Pérez Peláez </w:t>
      </w:r>
      <w:r w:rsidRPr="0031403F">
        <w:rPr>
          <w:rFonts w:ascii="Times New Roman" w:hAnsi="Times New Roman" w:cs="Times New Roman"/>
          <w:b w:val="0"/>
          <w:sz w:val="24"/>
          <w:szCs w:val="24"/>
        </w:rPr>
        <w:tab/>
      </w:r>
      <w:r w:rsidRPr="0031403F">
        <w:rPr>
          <w:rFonts w:ascii="Times New Roman" w:hAnsi="Times New Roman" w:cs="Times New Roman"/>
          <w:b w:val="0"/>
          <w:sz w:val="24"/>
          <w:szCs w:val="24"/>
        </w:rPr>
        <w:tab/>
      </w:r>
      <w:r w:rsidRPr="0031403F">
        <w:rPr>
          <w:rFonts w:ascii="Times New Roman" w:hAnsi="Times New Roman" w:cs="Times New Roman"/>
          <w:b w:val="0"/>
          <w:sz w:val="24"/>
          <w:szCs w:val="24"/>
        </w:rPr>
        <w:tab/>
      </w:r>
      <w:r w:rsidRPr="0031403F">
        <w:rPr>
          <w:rFonts w:ascii="Times New Roman" w:hAnsi="Times New Roman" w:cs="Times New Roman"/>
          <w:b w:val="0"/>
          <w:sz w:val="24"/>
          <w:szCs w:val="24"/>
        </w:rPr>
        <w:tab/>
        <w:t>Lic.  Mario Quesada Aguirre</w:t>
      </w:r>
      <w:r w:rsidRPr="0031403F">
        <w:rPr>
          <w:rFonts w:ascii="Times New Roman" w:hAnsi="Times New Roman" w:cs="Times New Roman"/>
          <w:b w:val="0"/>
          <w:sz w:val="24"/>
          <w:szCs w:val="24"/>
        </w:rPr>
        <w:tab/>
      </w:r>
      <w:r w:rsidRPr="0031403F">
        <w:rPr>
          <w:rFonts w:ascii="Times New Roman" w:hAnsi="Times New Roman" w:cs="Times New Roman"/>
          <w:b w:val="0"/>
          <w:sz w:val="24"/>
          <w:szCs w:val="24"/>
        </w:rPr>
        <w:tab/>
      </w:r>
      <w:r w:rsidRPr="0031403F">
        <w:rPr>
          <w:rFonts w:ascii="Times New Roman" w:hAnsi="Times New Roman" w:cs="Times New Roman"/>
          <w:sz w:val="24"/>
          <w:szCs w:val="24"/>
        </w:rPr>
        <w:t xml:space="preserve">     Jueza </w:t>
      </w:r>
      <w:r w:rsidRPr="0031403F">
        <w:rPr>
          <w:rFonts w:ascii="Times New Roman" w:hAnsi="Times New Roman" w:cs="Times New Roman"/>
          <w:sz w:val="24"/>
          <w:szCs w:val="24"/>
        </w:rPr>
        <w:tab/>
      </w:r>
      <w:r w:rsidRPr="0031403F">
        <w:rPr>
          <w:rFonts w:ascii="Times New Roman" w:hAnsi="Times New Roman" w:cs="Times New Roman"/>
          <w:sz w:val="24"/>
          <w:szCs w:val="24"/>
        </w:rPr>
        <w:tab/>
      </w:r>
      <w:r w:rsidRPr="0031403F">
        <w:rPr>
          <w:rFonts w:ascii="Times New Roman" w:hAnsi="Times New Roman" w:cs="Times New Roman"/>
          <w:sz w:val="24"/>
          <w:szCs w:val="24"/>
        </w:rPr>
        <w:tab/>
      </w:r>
      <w:r w:rsidRPr="0031403F">
        <w:rPr>
          <w:rFonts w:ascii="Times New Roman" w:hAnsi="Times New Roman" w:cs="Times New Roman"/>
          <w:sz w:val="24"/>
          <w:szCs w:val="24"/>
        </w:rPr>
        <w:tab/>
        <w:t xml:space="preserve">     </w:t>
      </w:r>
      <w:r w:rsidRPr="0031403F">
        <w:rPr>
          <w:rFonts w:ascii="Times New Roman" w:hAnsi="Times New Roman" w:cs="Times New Roman"/>
          <w:sz w:val="24"/>
          <w:szCs w:val="24"/>
        </w:rPr>
        <w:tab/>
      </w:r>
      <w:r w:rsidRPr="0031403F">
        <w:rPr>
          <w:rFonts w:ascii="Times New Roman" w:hAnsi="Times New Roman" w:cs="Times New Roman"/>
          <w:sz w:val="24"/>
          <w:szCs w:val="24"/>
        </w:rPr>
        <w:tab/>
        <w:t xml:space="preserve">           Juez</w:t>
      </w:r>
    </w:p>
    <w:p w:rsidR="006E6FB4" w:rsidRDefault="00214A74">
      <w:bookmarkStart w:id="0" w:name="_GoBack"/>
      <w:bookmarkEnd w:id="0"/>
    </w:p>
    <w:sectPr w:rsidR="006E6FB4" w:rsidSect="001D60E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66519"/>
    <w:multiLevelType w:val="singleLevel"/>
    <w:tmpl w:val="011C0AEC"/>
    <w:lvl w:ilvl="0">
      <w:start w:val="1"/>
      <w:numFmt w:val="decimal"/>
      <w:lvlText w:val="%1.-"/>
      <w:lvlJc w:val="left"/>
      <w:pPr>
        <w:tabs>
          <w:tab w:val="num" w:pos="864"/>
        </w:tabs>
        <w:ind w:left="144"/>
      </w:pPr>
      <w:rPr>
        <w:rFonts w:ascii="Times New Roman" w:hAnsi="Times New Roman" w:cs="Times New Roman" w:hint="default"/>
        <w:b/>
        <w:bCs/>
        <w:snapToGrid/>
        <w:sz w:val="24"/>
        <w:szCs w:val="24"/>
      </w:rPr>
    </w:lvl>
  </w:abstractNum>
  <w:abstractNum w:abstractNumId="1" w15:restartNumberingAfterBreak="0">
    <w:nsid w:val="06242398"/>
    <w:multiLevelType w:val="singleLevel"/>
    <w:tmpl w:val="99F01F86"/>
    <w:lvl w:ilvl="0">
      <w:start w:val="1"/>
      <w:numFmt w:val="decimal"/>
      <w:lvlText w:val="%1."/>
      <w:lvlJc w:val="left"/>
      <w:pPr>
        <w:tabs>
          <w:tab w:val="num" w:pos="792"/>
        </w:tabs>
        <w:ind w:left="504"/>
      </w:pPr>
      <w:rPr>
        <w:rFonts w:ascii="Times New Roman" w:hAnsi="Times New Roman" w:cs="Times New Roman" w:hint="default"/>
        <w:b/>
        <w:bCs/>
        <w:i w:val="0"/>
        <w:iCs/>
        <w:snapToGrid/>
        <w:spacing w:val="6"/>
        <w:sz w:val="20"/>
        <w:szCs w:val="20"/>
      </w:rPr>
    </w:lvl>
  </w:abstractNum>
  <w:abstractNum w:abstractNumId="2" w15:restartNumberingAfterBreak="0">
    <w:nsid w:val="3D2E4E40"/>
    <w:multiLevelType w:val="hybridMultilevel"/>
    <w:tmpl w:val="7F52FCA2"/>
    <w:lvl w:ilvl="0" w:tplc="E2F2DC72">
      <w:start w:val="1"/>
      <w:numFmt w:val="lowerLetter"/>
      <w:lvlText w:val="%1)"/>
      <w:lvlJc w:val="left"/>
      <w:pPr>
        <w:ind w:left="927" w:hanging="360"/>
      </w:pPr>
      <w:rPr>
        <w:rFonts w:hint="default"/>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num w:numId="1">
    <w:abstractNumId w:val="1"/>
  </w:num>
  <w:num w:numId="2">
    <w:abstractNumId w:val="2"/>
  </w:num>
  <w:num w:numId="3">
    <w:abstractNumId w:val="0"/>
  </w:num>
  <w:num w:numId="4">
    <w:abstractNumId w:val="0"/>
    <w:lvlOverride w:ilvl="0">
      <w:lvl w:ilvl="0">
        <w:numFmt w:val="decimal"/>
        <w:lvlText w:val="%1.-"/>
        <w:lvlJc w:val="left"/>
        <w:pPr>
          <w:tabs>
            <w:tab w:val="num" w:pos="864"/>
          </w:tabs>
          <w:ind w:left="144"/>
        </w:pPr>
        <w:rPr>
          <w:rFonts w:ascii="Times New Roman" w:hAnsi="Times New Roman" w:cs="Times New Roman" w:hint="default"/>
          <w:b/>
          <w:bCs/>
          <w:snapToGrid/>
          <w:spacing w:val="3"/>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A74"/>
    <w:rsid w:val="001D21F3"/>
    <w:rsid w:val="001F4B3C"/>
    <w:rsid w:val="0020497B"/>
    <w:rsid w:val="00214A74"/>
    <w:rsid w:val="003016FE"/>
    <w:rsid w:val="003461CF"/>
    <w:rsid w:val="00384841"/>
    <w:rsid w:val="003A23AD"/>
    <w:rsid w:val="003E6726"/>
    <w:rsid w:val="003F5222"/>
    <w:rsid w:val="00615EDE"/>
    <w:rsid w:val="0063118F"/>
    <w:rsid w:val="0071335F"/>
    <w:rsid w:val="007C4DEF"/>
    <w:rsid w:val="008063E5"/>
    <w:rsid w:val="00894212"/>
    <w:rsid w:val="00941508"/>
    <w:rsid w:val="00A16E96"/>
    <w:rsid w:val="00A478C0"/>
    <w:rsid w:val="00B55DAC"/>
    <w:rsid w:val="00DC5652"/>
    <w:rsid w:val="00F42CB8"/>
    <w:rsid w:val="00FB0FD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FED929-28E6-4A1F-B0D9-8D30F7278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A74"/>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214A74"/>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14A74"/>
    <w:rPr>
      <w:rFonts w:ascii="Arial" w:eastAsia="Times New Roman" w:hAnsi="Arial" w:cs="Arial"/>
      <w:b/>
      <w:bCs/>
      <w:kern w:val="32"/>
      <w:sz w:val="32"/>
      <w:szCs w:val="32"/>
      <w:lang w:eastAsia="es-ES"/>
    </w:rPr>
  </w:style>
  <w:style w:type="paragraph" w:styleId="Sinespaciado">
    <w:name w:val="No Spacing"/>
    <w:uiPriority w:val="1"/>
    <w:qFormat/>
    <w:rsid w:val="00214A74"/>
    <w:pPr>
      <w:spacing w:after="0" w:line="240" w:lineRule="auto"/>
    </w:pPr>
    <w:rPr>
      <w:rFonts w:ascii="Calibri" w:eastAsia="Calibri" w:hAnsi="Calibri" w:cs="Times New Roman"/>
    </w:rPr>
  </w:style>
  <w:style w:type="paragraph" w:styleId="Textoindependiente2">
    <w:name w:val="Body Text 2"/>
    <w:basedOn w:val="Normal"/>
    <w:link w:val="Textoindependiente2Car"/>
    <w:uiPriority w:val="99"/>
    <w:unhideWhenUsed/>
    <w:rsid w:val="00214A74"/>
    <w:pPr>
      <w:spacing w:after="120" w:line="480" w:lineRule="auto"/>
    </w:pPr>
  </w:style>
  <w:style w:type="character" w:customStyle="1" w:styleId="Textoindependiente2Car">
    <w:name w:val="Texto independiente 2 Car"/>
    <w:basedOn w:val="Fuentedeprrafopredeter"/>
    <w:link w:val="Textoindependiente2"/>
    <w:uiPriority w:val="99"/>
    <w:rsid w:val="00214A74"/>
    <w:rPr>
      <w:rFonts w:ascii="Times New Roman" w:eastAsia="Times New Roman" w:hAnsi="Times New Roman" w:cs="Times New Roman"/>
      <w:sz w:val="24"/>
      <w:szCs w:val="24"/>
      <w:lang w:eastAsia="es-ES"/>
    </w:rPr>
  </w:style>
  <w:style w:type="paragraph" w:styleId="Prrafodelista">
    <w:name w:val="List Paragraph"/>
    <w:basedOn w:val="Normal"/>
    <w:qFormat/>
    <w:rsid w:val="00214A74"/>
    <w:pPr>
      <w:ind w:left="720"/>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1632</Words>
  <Characters>8977</Characters>
  <Application>Microsoft Office Word</Application>
  <DocSecurity>0</DocSecurity>
  <Lines>74</Lines>
  <Paragraphs>21</Paragraphs>
  <ScaleCrop>false</ScaleCrop>
  <Company/>
  <LinksUpToDate>false</LinksUpToDate>
  <CharactersWithSpaces>10588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Montero Salguero</dc:creator>
  <cp:keywords/>
  <dc:description/>
  <cp:lastModifiedBy>Tatiana Montero Salguero</cp:lastModifiedBy>
  <cp:revision>1</cp:revision>
  <dcterms:created xsi:type="dcterms:W3CDTF">2020-12-17T16:06:00Z</dcterms:created>
  <dcterms:modified xsi:type="dcterms:W3CDTF">2020-12-17T16:07:00Z</dcterms:modified>
</cp:coreProperties>
</file>